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6D519" w14:textId="479B7F1E" w:rsidR="00F85309" w:rsidRPr="002F6E8C" w:rsidRDefault="00F85309" w:rsidP="002F6E8C">
      <w:pPr>
        <w:pStyle w:val="Header"/>
        <w:tabs>
          <w:tab w:val="right" w:pos="9639"/>
          <w:tab w:val="right" w:pos="13323"/>
        </w:tabs>
        <w:rPr>
          <w:rFonts w:asciiTheme="minorHAnsi" w:eastAsiaTheme="minorEastAsia" w:hAnsiTheme="minorHAnsi" w:cs="Arial"/>
          <w:bCs/>
          <w:noProof w:val="0"/>
          <w:sz w:val="24"/>
          <w:szCs w:val="24"/>
          <w:lang w:eastAsia="zh-CN"/>
        </w:rPr>
      </w:pPr>
      <w:r w:rsidRPr="002F6E8C">
        <w:rPr>
          <w:rFonts w:asciiTheme="minorHAnsi" w:eastAsiaTheme="minorEastAsia" w:hAnsiTheme="minorHAnsi" w:cs="Arial"/>
          <w:bCs/>
          <w:noProof w:val="0"/>
          <w:sz w:val="24"/>
          <w:szCs w:val="24"/>
          <w:lang w:eastAsia="zh-CN"/>
        </w:rPr>
        <w:t>3GPP TSG-RAN WG4 Meeting # 11</w:t>
      </w:r>
      <w:r w:rsidR="00F27584" w:rsidRPr="002F6E8C">
        <w:rPr>
          <w:rFonts w:asciiTheme="minorHAnsi" w:eastAsiaTheme="minorEastAsia" w:hAnsiTheme="minorHAnsi" w:cs="Arial" w:hint="eastAsia"/>
          <w:bCs/>
          <w:noProof w:val="0"/>
          <w:sz w:val="24"/>
          <w:szCs w:val="24"/>
          <w:lang w:eastAsia="zh-CN"/>
        </w:rPr>
        <w:t>6</w:t>
      </w:r>
      <w:r w:rsidRPr="002F6E8C">
        <w:rPr>
          <w:rFonts w:asciiTheme="minorHAnsi" w:eastAsiaTheme="minorEastAsia" w:hAnsiTheme="minorHAnsi" w:cs="Arial"/>
          <w:bCs/>
          <w:noProof w:val="0"/>
          <w:sz w:val="24"/>
          <w:szCs w:val="24"/>
          <w:lang w:eastAsia="zh-CN"/>
        </w:rPr>
        <w:t xml:space="preserve">                                        </w:t>
      </w:r>
      <w:r w:rsidR="00240A9E" w:rsidRPr="00240A9E">
        <w:rPr>
          <w:rFonts w:asciiTheme="minorHAnsi" w:eastAsiaTheme="minorEastAsia" w:hAnsiTheme="minorHAnsi" w:cs="Arial"/>
          <w:bCs/>
          <w:noProof w:val="0"/>
          <w:sz w:val="24"/>
          <w:szCs w:val="24"/>
          <w:lang w:eastAsia="zh-CN"/>
        </w:rPr>
        <w:t>R4-2510099</w:t>
      </w:r>
    </w:p>
    <w:p w14:paraId="26E9F01B" w14:textId="77777777" w:rsidR="00F85309" w:rsidRPr="002F6E8C" w:rsidRDefault="00F85309" w:rsidP="002F6E8C">
      <w:pPr>
        <w:pStyle w:val="Header"/>
        <w:tabs>
          <w:tab w:val="right" w:pos="9639"/>
          <w:tab w:val="right" w:pos="13323"/>
        </w:tabs>
        <w:rPr>
          <w:rFonts w:asciiTheme="minorHAnsi" w:eastAsiaTheme="minorEastAsia" w:hAnsiTheme="minorHAnsi" w:cs="Arial"/>
          <w:bCs/>
          <w:noProof w:val="0"/>
          <w:sz w:val="24"/>
          <w:szCs w:val="24"/>
          <w:lang w:eastAsia="zh-CN"/>
        </w:rPr>
      </w:pPr>
      <w:bookmarkStart w:id="0" w:name="_Hlk197522347"/>
      <w:r w:rsidRPr="002F6E8C">
        <w:rPr>
          <w:rFonts w:asciiTheme="minorHAnsi" w:eastAsiaTheme="minorEastAsia" w:hAnsiTheme="minorHAnsi" w:cs="Arial"/>
          <w:bCs/>
          <w:noProof w:val="0"/>
          <w:sz w:val="24"/>
          <w:szCs w:val="24"/>
          <w:lang w:eastAsia="zh-CN"/>
        </w:rPr>
        <w:t>Bengaluru, India, Aug. 25 – 29, 2025</w:t>
      </w:r>
    </w:p>
    <w:bookmarkEnd w:id="0"/>
    <w:p w14:paraId="597BC239" w14:textId="5BD3DC7F" w:rsidR="00430613" w:rsidRPr="00FD65B2" w:rsidRDefault="00430613" w:rsidP="002D68F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D8362D">
        <w:rPr>
          <w:rFonts w:asciiTheme="minorHAnsi" w:eastAsiaTheme="minorEastAsia" w:hAnsiTheme="minorHAnsi" w:cstheme="minorHAnsi"/>
          <w:bCs/>
          <w:noProof w:val="0"/>
          <w:sz w:val="24"/>
          <w:szCs w:val="24"/>
          <w:lang w:eastAsia="zh-CN"/>
        </w:rPr>
        <w:t>Agenda Item</w:t>
      </w:r>
      <w:r w:rsidRPr="009A0D03">
        <w:rPr>
          <w:rFonts w:asciiTheme="minorHAnsi" w:eastAsiaTheme="minorEastAsia" w:hAnsiTheme="minorHAnsi" w:cstheme="minorHAnsi"/>
          <w:bCs/>
          <w:noProof w:val="0"/>
          <w:sz w:val="24"/>
          <w:szCs w:val="24"/>
          <w:lang w:eastAsia="zh-CN"/>
        </w:rPr>
        <w:t>:</w:t>
      </w:r>
      <w:r w:rsidR="00D1629D" w:rsidRPr="009A0D03">
        <w:rPr>
          <w:rFonts w:asciiTheme="minorHAnsi" w:eastAsiaTheme="minorEastAsia" w:hAnsiTheme="minorHAnsi" w:cstheme="minorHAnsi"/>
          <w:bCs/>
          <w:noProof w:val="0"/>
          <w:sz w:val="24"/>
          <w:szCs w:val="24"/>
          <w:lang w:eastAsia="zh-CN"/>
        </w:rPr>
        <w:t xml:space="preserve"> </w:t>
      </w:r>
      <w:r w:rsidR="002D68FA" w:rsidRPr="009A0D03">
        <w:rPr>
          <w:rFonts w:ascii="Calibri" w:hAnsi="Calibri"/>
          <w:sz w:val="24"/>
          <w:szCs w:val="24"/>
        </w:rPr>
        <w:t>7</w:t>
      </w:r>
      <w:r w:rsidR="00C53E53" w:rsidRPr="009A0D03">
        <w:rPr>
          <w:rFonts w:ascii="Calibri" w:hAnsi="Calibri"/>
          <w:sz w:val="24"/>
          <w:szCs w:val="24"/>
        </w:rPr>
        <w:t>.2</w:t>
      </w:r>
      <w:r w:rsidR="009A0D03" w:rsidRPr="009A0D03">
        <w:rPr>
          <w:rFonts w:ascii="Calibri" w:hAnsi="Calibri" w:hint="eastAsia"/>
          <w:sz w:val="24"/>
          <w:szCs w:val="24"/>
          <w:lang w:eastAsia="zh-CN"/>
        </w:rPr>
        <w:t>5</w:t>
      </w:r>
      <w:r w:rsidR="00C53E53" w:rsidRPr="009A0D03">
        <w:rPr>
          <w:rFonts w:ascii="Calibri" w:hAnsi="Calibri"/>
          <w:sz w:val="24"/>
          <w:szCs w:val="24"/>
        </w:rPr>
        <w:t>.</w:t>
      </w:r>
      <w:r w:rsidR="00D8362D" w:rsidRPr="009A0D03">
        <w:rPr>
          <w:rFonts w:ascii="Calibri" w:hAnsi="Calibri"/>
          <w:sz w:val="24"/>
          <w:szCs w:val="24"/>
        </w:rPr>
        <w:t>3</w:t>
      </w:r>
      <w:r w:rsidR="00D1629D" w:rsidRPr="009A0D03">
        <w:rPr>
          <w:rFonts w:ascii="Calibri" w:hAnsi="Calibri"/>
          <w:sz w:val="24"/>
          <w:szCs w:val="24"/>
        </w:rPr>
        <w:t>.1</w:t>
      </w:r>
    </w:p>
    <w:p w14:paraId="2637226F" w14:textId="77777777" w:rsidR="00DA768D" w:rsidRPr="00BD5F11"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5A5FF7C8" w:rsidR="00DA768D" w:rsidRPr="00782FF7"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D5611F" w:rsidRPr="00D5611F">
        <w:rPr>
          <w:rFonts w:asciiTheme="minorHAnsi" w:eastAsiaTheme="minorEastAsia" w:hAnsiTheme="minorHAnsi" w:cstheme="minorHAnsi"/>
          <w:bCs/>
          <w:noProof w:val="0"/>
          <w:sz w:val="24"/>
          <w:szCs w:val="24"/>
          <w:lang w:eastAsia="zh-CN"/>
        </w:rPr>
        <w:t>Discussion on event triggered L1 report for LTM</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F17B627" w14:textId="486B68E0" w:rsidR="0021403C" w:rsidRPr="0021403C" w:rsidRDefault="00BC4C0A" w:rsidP="0021403C">
      <w:pPr>
        <w:rPr>
          <w:sz w:val="20"/>
          <w:szCs w:val="20"/>
          <w:lang w:val="en-GB"/>
        </w:rPr>
      </w:pPr>
      <w:r w:rsidRPr="0021403C">
        <w:rPr>
          <w:rFonts w:eastAsia="宋体" w:hint="eastAsia"/>
          <w:sz w:val="20"/>
          <w:szCs w:val="20"/>
        </w:rPr>
        <w:t>RAN</w:t>
      </w:r>
      <w:r w:rsidRPr="0021403C">
        <w:rPr>
          <w:rFonts w:eastAsia="宋体"/>
          <w:sz w:val="20"/>
          <w:szCs w:val="20"/>
        </w:rPr>
        <w:t>#10</w:t>
      </w:r>
      <w:r w:rsidR="00B06F1D">
        <w:rPr>
          <w:rFonts w:eastAsia="宋体"/>
          <w:sz w:val="20"/>
          <w:szCs w:val="20"/>
        </w:rPr>
        <w:t>7</w:t>
      </w:r>
      <w:r w:rsidRPr="0021403C">
        <w:rPr>
          <w:rFonts w:eastAsia="宋体"/>
          <w:sz w:val="20"/>
          <w:szCs w:val="20"/>
        </w:rPr>
        <w:t xml:space="preserve"> </w:t>
      </w:r>
      <w:r w:rsidRPr="0021403C">
        <w:rPr>
          <w:rFonts w:eastAsia="宋体" w:hint="eastAsia"/>
          <w:sz w:val="20"/>
          <w:szCs w:val="20"/>
        </w:rPr>
        <w:t>agr</w:t>
      </w:r>
      <w:r w:rsidRPr="0021403C">
        <w:rPr>
          <w:rFonts w:eastAsia="宋体"/>
          <w:sz w:val="20"/>
          <w:szCs w:val="20"/>
        </w:rPr>
        <w:t xml:space="preserve">eed on the revised WID “NR mobility enhancements Phase 4” [1]. </w:t>
      </w:r>
      <w:r w:rsidR="0021403C" w:rsidRPr="0021403C">
        <w:rPr>
          <w:rFonts w:hint="eastAsia"/>
          <w:sz w:val="20"/>
          <w:szCs w:val="20"/>
          <w:lang w:val="en-GB"/>
        </w:rPr>
        <w:t>A</w:t>
      </w:r>
      <w:r w:rsidR="0021403C" w:rsidRPr="0021403C">
        <w:rPr>
          <w:sz w:val="20"/>
          <w:szCs w:val="20"/>
          <w:lang w:val="en-GB"/>
        </w:rPr>
        <w:t>ccording to WID, RAN4 is supposed to define requirements for the following measurement enhancements:</w:t>
      </w:r>
    </w:p>
    <w:p w14:paraId="3BB3CF7C" w14:textId="77777777" w:rsidR="0021403C" w:rsidRPr="0021403C" w:rsidRDefault="0021403C">
      <w:pPr>
        <w:pStyle w:val="ListParagraph"/>
        <w:numPr>
          <w:ilvl w:val="0"/>
          <w:numId w:val="7"/>
        </w:numPr>
        <w:rPr>
          <w:sz w:val="20"/>
          <w:szCs w:val="20"/>
          <w:lang w:val="en-GB"/>
        </w:rPr>
      </w:pPr>
      <w:r w:rsidRPr="0021403C">
        <w:rPr>
          <w:sz w:val="20"/>
          <w:szCs w:val="20"/>
          <w:lang w:val="en-GB" w:eastAsia="zh-CN"/>
        </w:rPr>
        <w:t>Event triggered L1 report,</w:t>
      </w:r>
    </w:p>
    <w:p w14:paraId="7C2B8F4D" w14:textId="5F89FDF4" w:rsidR="0021403C" w:rsidRPr="0021403C" w:rsidRDefault="0021403C">
      <w:pPr>
        <w:pStyle w:val="ListParagraph"/>
        <w:numPr>
          <w:ilvl w:val="0"/>
          <w:numId w:val="7"/>
        </w:numPr>
        <w:rPr>
          <w:sz w:val="20"/>
          <w:szCs w:val="20"/>
          <w:lang w:val="en-GB"/>
        </w:rPr>
      </w:pPr>
      <w:r w:rsidRPr="0021403C">
        <w:rPr>
          <w:rFonts w:hint="eastAsia"/>
          <w:sz w:val="20"/>
          <w:szCs w:val="20"/>
          <w:lang w:val="en-GB" w:eastAsia="zh-CN"/>
        </w:rPr>
        <w:t>C</w:t>
      </w:r>
      <w:r w:rsidRPr="0021403C">
        <w:rPr>
          <w:sz w:val="20"/>
          <w:szCs w:val="20"/>
          <w:lang w:val="en-GB" w:eastAsia="zh-CN"/>
        </w:rPr>
        <w:t>SI-RS L1 measurements,</w:t>
      </w:r>
    </w:p>
    <w:p w14:paraId="2E257336" w14:textId="0D6099D0" w:rsidR="0021403C" w:rsidRPr="0021403C" w:rsidRDefault="0021403C">
      <w:pPr>
        <w:pStyle w:val="ListParagraph"/>
        <w:numPr>
          <w:ilvl w:val="0"/>
          <w:numId w:val="7"/>
        </w:numPr>
        <w:rPr>
          <w:sz w:val="20"/>
          <w:szCs w:val="20"/>
          <w:lang w:val="en-GB"/>
        </w:rPr>
      </w:pPr>
      <w:r w:rsidRPr="0021403C">
        <w:rPr>
          <w:sz w:val="20"/>
          <w:szCs w:val="20"/>
          <w:lang w:val="en-GB" w:eastAsia="zh-CN"/>
        </w:rPr>
        <w:t>CSI acquisition on candidate cell(s) based on CSI-RS before or during LTM cell switch.</w:t>
      </w:r>
    </w:p>
    <w:p w14:paraId="0608CEC5" w14:textId="35C9F40C" w:rsidR="00357E4F" w:rsidRPr="009324DF" w:rsidRDefault="002D68FA" w:rsidP="00357E4F">
      <w:pPr>
        <w:rPr>
          <w:sz w:val="20"/>
          <w:szCs w:val="20"/>
          <w:lang w:val="en-GB"/>
        </w:rPr>
      </w:pPr>
      <w:r>
        <w:rPr>
          <w:rFonts w:hint="eastAsia"/>
          <w:sz w:val="20"/>
          <w:szCs w:val="20"/>
          <w:lang w:val="en-GB"/>
        </w:rPr>
        <w:t>Last</w:t>
      </w:r>
      <w:r>
        <w:rPr>
          <w:sz w:val="20"/>
          <w:szCs w:val="20"/>
          <w:lang w:val="en-GB"/>
        </w:rPr>
        <w:t xml:space="preserve"> meeting, there were some discussions [2]. In </w:t>
      </w:r>
      <w:r w:rsidR="0021403C" w:rsidRPr="0021403C">
        <w:rPr>
          <w:sz w:val="20"/>
          <w:szCs w:val="20"/>
          <w:lang w:val="en-GB"/>
        </w:rPr>
        <w:t>the next, we would like to provide our views on</w:t>
      </w:r>
      <w:r>
        <w:rPr>
          <w:sz w:val="20"/>
          <w:szCs w:val="20"/>
          <w:lang w:val="en-GB"/>
        </w:rPr>
        <w:t xml:space="preserve"> the open issues of event triggered L1 report</w:t>
      </w:r>
      <w:r w:rsidR="0021403C" w:rsidRPr="0021403C">
        <w:rPr>
          <w:sz w:val="20"/>
          <w:szCs w:val="20"/>
          <w:lang w:val="en-GB"/>
        </w:rPr>
        <w:t>.</w:t>
      </w:r>
    </w:p>
    <w:p w14:paraId="2618E7F0" w14:textId="23DA31BA" w:rsidR="005575F9" w:rsidRDefault="00C51F3B" w:rsidP="00FB4AB0">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2CC3C104" w14:textId="524E912E" w:rsidR="00C903F5" w:rsidRPr="00C903F5" w:rsidRDefault="00C903F5" w:rsidP="00C903F5">
      <w:pPr>
        <w:pStyle w:val="Heading2"/>
        <w:rPr>
          <w:rFonts w:asciiTheme="minorHAnsi" w:hAnsiTheme="minorHAnsi" w:cstheme="minorHAnsi"/>
          <w:sz w:val="28"/>
          <w:szCs w:val="18"/>
        </w:rPr>
      </w:pPr>
      <w:r>
        <w:rPr>
          <w:rFonts w:asciiTheme="minorHAnsi" w:hAnsiTheme="minorHAnsi" w:cstheme="minorHAnsi"/>
          <w:sz w:val="28"/>
          <w:szCs w:val="18"/>
        </w:rPr>
        <w:t xml:space="preserve">2.1 </w:t>
      </w:r>
      <w:r w:rsidR="006401DE" w:rsidRPr="006401DE">
        <w:rPr>
          <w:rFonts w:asciiTheme="minorHAnsi" w:hAnsiTheme="minorHAnsi" w:cstheme="minorHAnsi"/>
          <w:sz w:val="28"/>
          <w:szCs w:val="18"/>
        </w:rPr>
        <w:t xml:space="preserve">Capabilities for Support of Event Triggering </w:t>
      </w:r>
      <w:r w:rsidR="006401DE">
        <w:rPr>
          <w:rFonts w:asciiTheme="minorHAnsi" w:hAnsiTheme="minorHAnsi" w:cstheme="minorHAnsi"/>
          <w:sz w:val="28"/>
          <w:szCs w:val="18"/>
        </w:rPr>
        <w:t>L1</w:t>
      </w:r>
      <w:r w:rsidR="006401DE" w:rsidRPr="006401DE">
        <w:rPr>
          <w:rFonts w:asciiTheme="minorHAnsi" w:hAnsiTheme="minorHAnsi" w:cstheme="minorHAnsi"/>
          <w:sz w:val="28"/>
          <w:szCs w:val="18"/>
        </w:rPr>
        <w:t xml:space="preserve"> Reporting</w:t>
      </w:r>
    </w:p>
    <w:tbl>
      <w:tblPr>
        <w:tblStyle w:val="TableGrid"/>
        <w:tblW w:w="0" w:type="auto"/>
        <w:tblLook w:val="04A0" w:firstRow="1" w:lastRow="0" w:firstColumn="1" w:lastColumn="0" w:noHBand="0" w:noVBand="1"/>
      </w:tblPr>
      <w:tblGrid>
        <w:gridCol w:w="9629"/>
      </w:tblGrid>
      <w:tr w:rsidR="00931DC8" w14:paraId="77F2A0C6" w14:textId="77777777" w:rsidTr="00931DC8">
        <w:tc>
          <w:tcPr>
            <w:tcW w:w="9629" w:type="dxa"/>
          </w:tcPr>
          <w:p w14:paraId="762B59BC" w14:textId="77777777" w:rsidR="00B17612" w:rsidRPr="00B17612" w:rsidRDefault="00B17612" w:rsidP="00B17612">
            <w:pPr>
              <w:pStyle w:val="Heading4"/>
              <w:ind w:left="0" w:firstLine="0"/>
              <w:rPr>
                <w:sz w:val="22"/>
                <w:szCs w:val="18"/>
                <w:lang w:val="en-US"/>
              </w:rPr>
            </w:pPr>
            <w:bookmarkStart w:id="1" w:name="_Hlk142679663"/>
            <w:r w:rsidRPr="00B17612">
              <w:rPr>
                <w:sz w:val="22"/>
                <w:szCs w:val="18"/>
                <w:lang w:val="en-US"/>
              </w:rPr>
              <w:t xml:space="preserve">Issue 2-3: whether to introduce/update requirements for reporting criteria per measurement </w:t>
            </w:r>
            <w:proofErr w:type="gramStart"/>
            <w:r w:rsidRPr="00B17612">
              <w:rPr>
                <w:sz w:val="22"/>
                <w:szCs w:val="18"/>
                <w:lang w:val="en-US"/>
              </w:rPr>
              <w:t>category</w:t>
            </w:r>
            <w:proofErr w:type="gramEnd"/>
          </w:p>
          <w:p w14:paraId="781E7369" w14:textId="77777777" w:rsidR="00B17612" w:rsidRPr="00B17612" w:rsidRDefault="00B17612" w:rsidP="00B17612">
            <w:pPr>
              <w:spacing w:after="120"/>
              <w:rPr>
                <w:b/>
                <w:bCs/>
                <w:color w:val="000000" w:themeColor="text1"/>
                <w:sz w:val="20"/>
                <w:szCs w:val="21"/>
              </w:rPr>
            </w:pPr>
            <w:r w:rsidRPr="00B17612">
              <w:rPr>
                <w:b/>
                <w:bCs/>
                <w:color w:val="000000" w:themeColor="text1"/>
                <w:sz w:val="20"/>
                <w:szCs w:val="21"/>
              </w:rPr>
              <w:t>Candidate options:</w:t>
            </w:r>
          </w:p>
          <w:p w14:paraId="433E758F" w14:textId="77777777" w:rsidR="00B17612" w:rsidRPr="00B17612" w:rsidRDefault="00B17612" w:rsidP="00B17612">
            <w:pPr>
              <w:pStyle w:val="ListParagraph"/>
              <w:numPr>
                <w:ilvl w:val="0"/>
                <w:numId w:val="14"/>
              </w:numPr>
              <w:overflowPunct w:val="0"/>
              <w:autoSpaceDE w:val="0"/>
              <w:autoSpaceDN w:val="0"/>
              <w:adjustRightInd w:val="0"/>
              <w:spacing w:after="120"/>
              <w:contextualSpacing w:val="0"/>
              <w:textAlignment w:val="baseline"/>
              <w:rPr>
                <w:rFonts w:eastAsia="宋体"/>
                <w:color w:val="000000" w:themeColor="text1"/>
                <w:sz w:val="20"/>
                <w:szCs w:val="21"/>
              </w:rPr>
            </w:pPr>
            <w:r w:rsidRPr="00B17612">
              <w:rPr>
                <w:rFonts w:eastAsia="宋体"/>
                <w:color w:val="000000" w:themeColor="text1"/>
                <w:sz w:val="20"/>
                <w:szCs w:val="21"/>
              </w:rPr>
              <w:t xml:space="preserve">Option 1: </w:t>
            </w:r>
            <w:r w:rsidRPr="00B17612">
              <w:rPr>
                <w:rFonts w:eastAsia="宋体" w:hint="eastAsia"/>
                <w:color w:val="000000" w:themeColor="text1"/>
                <w:sz w:val="20"/>
                <w:szCs w:val="21"/>
              </w:rPr>
              <w:t>D</w:t>
            </w:r>
            <w:r w:rsidRPr="00B17612">
              <w:rPr>
                <w:rFonts w:eastAsia="宋体"/>
                <w:color w:val="000000" w:themeColor="text1"/>
                <w:sz w:val="20"/>
                <w:szCs w:val="21"/>
              </w:rPr>
              <w:t>efine a separate capability for supported number of events triggered L1 measurement reporting. (CTC, Nokia, Xiaomi, CATT, vivo, MTK, ZTE, CMCC, E///)</w:t>
            </w:r>
          </w:p>
          <w:p w14:paraId="4E30D6E0" w14:textId="77777777" w:rsidR="00B17612" w:rsidRPr="00B17612" w:rsidRDefault="00B17612" w:rsidP="00B17612">
            <w:pPr>
              <w:pStyle w:val="ListParagraph"/>
              <w:numPr>
                <w:ilvl w:val="1"/>
                <w:numId w:val="14"/>
              </w:numPr>
              <w:overflowPunct w:val="0"/>
              <w:autoSpaceDE w:val="0"/>
              <w:autoSpaceDN w:val="0"/>
              <w:adjustRightInd w:val="0"/>
              <w:spacing w:after="120"/>
              <w:contextualSpacing w:val="0"/>
              <w:textAlignment w:val="baseline"/>
              <w:rPr>
                <w:rFonts w:eastAsia="宋体"/>
                <w:bCs/>
                <w:color w:val="000000" w:themeColor="text1"/>
                <w:sz w:val="20"/>
                <w:szCs w:val="21"/>
              </w:rPr>
            </w:pPr>
            <w:r w:rsidRPr="00B17612">
              <w:rPr>
                <w:rFonts w:eastAsia="宋体"/>
                <w:bCs/>
                <w:color w:val="000000" w:themeColor="text1"/>
                <w:sz w:val="20"/>
                <w:szCs w:val="21"/>
                <w:lang w:val="en-GB"/>
              </w:rPr>
              <w:t xml:space="preserve">Details: </w:t>
            </w:r>
          </w:p>
          <w:p w14:paraId="42B026BE" w14:textId="77777777" w:rsidR="00B17612" w:rsidRPr="00B17612" w:rsidRDefault="00B17612" w:rsidP="00B17612">
            <w:pPr>
              <w:pStyle w:val="ListParagraph"/>
              <w:numPr>
                <w:ilvl w:val="2"/>
                <w:numId w:val="14"/>
              </w:numPr>
              <w:overflowPunct w:val="0"/>
              <w:autoSpaceDE w:val="0"/>
              <w:autoSpaceDN w:val="0"/>
              <w:adjustRightInd w:val="0"/>
              <w:spacing w:after="120"/>
              <w:contextualSpacing w:val="0"/>
              <w:textAlignment w:val="baseline"/>
              <w:rPr>
                <w:rFonts w:eastAsia="宋体"/>
                <w:bCs/>
                <w:color w:val="000000" w:themeColor="text1"/>
                <w:sz w:val="20"/>
                <w:szCs w:val="21"/>
              </w:rPr>
            </w:pPr>
            <w:r w:rsidRPr="00B17612">
              <w:rPr>
                <w:rFonts w:eastAsia="宋体"/>
                <w:bCs/>
                <w:color w:val="000000" w:themeColor="text1"/>
                <w:sz w:val="20"/>
                <w:szCs w:val="21"/>
                <w:lang w:val="en-GB"/>
              </w:rPr>
              <w:t>Option 1a:(vivo)</w:t>
            </w:r>
          </w:p>
          <w:p w14:paraId="7ACB18EB" w14:textId="77777777" w:rsidR="00B17612" w:rsidRPr="00B17612" w:rsidRDefault="00B17612" w:rsidP="00B17612">
            <w:pPr>
              <w:pStyle w:val="ListParagraph"/>
              <w:numPr>
                <w:ilvl w:val="3"/>
                <w:numId w:val="14"/>
              </w:numPr>
              <w:overflowPunct w:val="0"/>
              <w:autoSpaceDE w:val="0"/>
              <w:autoSpaceDN w:val="0"/>
              <w:adjustRightInd w:val="0"/>
              <w:spacing w:after="120"/>
              <w:contextualSpacing w:val="0"/>
              <w:textAlignment w:val="baseline"/>
              <w:rPr>
                <w:rFonts w:eastAsia="宋体"/>
                <w:bCs/>
                <w:color w:val="000000" w:themeColor="text1"/>
                <w:sz w:val="20"/>
                <w:szCs w:val="21"/>
              </w:rPr>
            </w:pPr>
            <w:r w:rsidRPr="00B17612">
              <w:rPr>
                <w:rFonts w:eastAsia="宋体"/>
                <w:bCs/>
                <w:color w:val="000000" w:themeColor="text1"/>
                <w:sz w:val="20"/>
                <w:szCs w:val="21"/>
                <w:lang w:val="en-GB"/>
              </w:rPr>
              <w:t>RAN4 to specify the reporting capabilities for SSB-based L1 measurements for LTM by considering intra-frequency measurement and inter-frequency measurement. For CSI-RS based L1 measurements for LTM, consider 1 layer of measurement for the reporting capability.</w:t>
            </w:r>
          </w:p>
          <w:p w14:paraId="5C87DDAA" w14:textId="77777777" w:rsidR="00B17612" w:rsidRPr="00B17612" w:rsidRDefault="00B17612" w:rsidP="00B17612">
            <w:pPr>
              <w:pStyle w:val="ListParagraph"/>
              <w:numPr>
                <w:ilvl w:val="3"/>
                <w:numId w:val="14"/>
              </w:numPr>
              <w:overflowPunct w:val="0"/>
              <w:autoSpaceDE w:val="0"/>
              <w:autoSpaceDN w:val="0"/>
              <w:adjustRightInd w:val="0"/>
              <w:spacing w:after="120"/>
              <w:contextualSpacing w:val="0"/>
              <w:textAlignment w:val="baseline"/>
              <w:rPr>
                <w:rFonts w:eastAsia="宋体"/>
                <w:color w:val="000000" w:themeColor="text1"/>
                <w:sz w:val="20"/>
                <w:szCs w:val="21"/>
              </w:rPr>
            </w:pPr>
            <w:r w:rsidRPr="00B17612">
              <w:rPr>
                <w:rFonts w:eastAsia="宋体"/>
                <w:color w:val="000000" w:themeColor="text1"/>
                <w:sz w:val="20"/>
                <w:szCs w:val="21"/>
                <w:lang w:val="en-GB"/>
              </w:rPr>
              <w:t>Reporting criteria for LTM event triggered reporting is 4 per frequency layer.</w:t>
            </w:r>
          </w:p>
          <w:p w14:paraId="634FAAFB" w14:textId="77777777" w:rsidR="00B17612" w:rsidRPr="00B17612" w:rsidRDefault="00B17612" w:rsidP="00B17612">
            <w:pPr>
              <w:pStyle w:val="ListParagraph"/>
              <w:numPr>
                <w:ilvl w:val="3"/>
                <w:numId w:val="14"/>
              </w:numPr>
              <w:overflowPunct w:val="0"/>
              <w:autoSpaceDE w:val="0"/>
              <w:autoSpaceDN w:val="0"/>
              <w:adjustRightInd w:val="0"/>
              <w:spacing w:after="120"/>
              <w:contextualSpacing w:val="0"/>
              <w:textAlignment w:val="baseline"/>
              <w:rPr>
                <w:rFonts w:eastAsia="宋体"/>
                <w:color w:val="000000" w:themeColor="text1"/>
                <w:sz w:val="20"/>
                <w:szCs w:val="21"/>
              </w:rPr>
            </w:pPr>
            <w:r w:rsidRPr="00B17612">
              <w:rPr>
                <w:rFonts w:eastAsia="宋体"/>
                <w:color w:val="000000" w:themeColor="text1"/>
                <w:sz w:val="20"/>
                <w:szCs w:val="21"/>
                <w:lang w:val="en-GB"/>
              </w:rPr>
              <w:t>The total number of reporting criteria for LTM event triggered reporting is 4*n, where n is the total number frequency layers for L1-RSRP measurement, including intra-frequency layer(s), inter-frequency layer(s) for SSB-based L1-RSRP measurement and 1 frequency layer for CSI-RS based L1-RSRP measurement if configured.</w:t>
            </w:r>
          </w:p>
          <w:p w14:paraId="025F526D" w14:textId="77777777" w:rsidR="00B17612" w:rsidRPr="00B17612" w:rsidRDefault="00B17612" w:rsidP="00B17612">
            <w:pPr>
              <w:pStyle w:val="ListParagraph"/>
              <w:numPr>
                <w:ilvl w:val="2"/>
                <w:numId w:val="14"/>
              </w:numPr>
              <w:overflowPunct w:val="0"/>
              <w:autoSpaceDE w:val="0"/>
              <w:autoSpaceDN w:val="0"/>
              <w:adjustRightInd w:val="0"/>
              <w:spacing w:after="120"/>
              <w:contextualSpacing w:val="0"/>
              <w:textAlignment w:val="baseline"/>
              <w:rPr>
                <w:rFonts w:eastAsia="宋体"/>
                <w:color w:val="000000" w:themeColor="text1"/>
                <w:sz w:val="20"/>
                <w:szCs w:val="21"/>
              </w:rPr>
            </w:pPr>
            <w:r w:rsidRPr="00B17612">
              <w:rPr>
                <w:rFonts w:eastAsia="宋体"/>
                <w:color w:val="000000" w:themeColor="text1"/>
                <w:sz w:val="20"/>
                <w:szCs w:val="21"/>
                <w:lang w:val="en-GB"/>
              </w:rPr>
              <w:t>Option 1b: E///</w:t>
            </w:r>
          </w:p>
          <w:p w14:paraId="1DE9E103" w14:textId="77777777" w:rsidR="00B17612" w:rsidRPr="00B17612" w:rsidRDefault="00B17612" w:rsidP="00B17612">
            <w:pPr>
              <w:pStyle w:val="ListParagraph"/>
              <w:numPr>
                <w:ilvl w:val="3"/>
                <w:numId w:val="14"/>
              </w:numPr>
              <w:overflowPunct w:val="0"/>
              <w:autoSpaceDE w:val="0"/>
              <w:autoSpaceDN w:val="0"/>
              <w:adjustRightInd w:val="0"/>
              <w:spacing w:after="120"/>
              <w:contextualSpacing w:val="0"/>
              <w:textAlignment w:val="baseline"/>
              <w:rPr>
                <w:rFonts w:eastAsia="宋体"/>
                <w:color w:val="000000" w:themeColor="text1"/>
                <w:sz w:val="20"/>
                <w:szCs w:val="21"/>
              </w:rPr>
            </w:pPr>
            <w:r w:rsidRPr="00B17612">
              <w:rPr>
                <w:rFonts w:eastAsia="宋体"/>
                <w:color w:val="000000" w:themeColor="text1"/>
                <w:sz w:val="20"/>
                <w:szCs w:val="21"/>
              </w:rPr>
              <w:t xml:space="preserve">RAN4 to support a common LTM </w:t>
            </w:r>
            <w:proofErr w:type="spellStart"/>
            <w:r w:rsidRPr="00B17612">
              <w:rPr>
                <w:rFonts w:eastAsia="宋体"/>
                <w:color w:val="000000" w:themeColor="text1"/>
                <w:sz w:val="20"/>
                <w:szCs w:val="21"/>
              </w:rPr>
              <w:t>Ecat</w:t>
            </w:r>
            <w:proofErr w:type="spellEnd"/>
            <w:r w:rsidRPr="00B17612">
              <w:rPr>
                <w:rFonts w:eastAsia="宋体"/>
                <w:color w:val="000000" w:themeColor="text1"/>
                <w:sz w:val="20"/>
                <w:szCs w:val="21"/>
              </w:rPr>
              <w:t xml:space="preserve"> capability to be shared between intra- and inter-frequency candidate cells.</w:t>
            </w:r>
          </w:p>
          <w:p w14:paraId="3069F986" w14:textId="77777777" w:rsidR="00B17612" w:rsidRPr="00B17612" w:rsidRDefault="00B17612" w:rsidP="00B17612">
            <w:pPr>
              <w:pStyle w:val="ListParagraph"/>
              <w:numPr>
                <w:ilvl w:val="3"/>
                <w:numId w:val="14"/>
              </w:numPr>
              <w:overflowPunct w:val="0"/>
              <w:autoSpaceDE w:val="0"/>
              <w:autoSpaceDN w:val="0"/>
              <w:adjustRightInd w:val="0"/>
              <w:spacing w:after="120"/>
              <w:contextualSpacing w:val="0"/>
              <w:textAlignment w:val="baseline"/>
              <w:rPr>
                <w:rFonts w:eastAsia="宋体"/>
                <w:color w:val="000000" w:themeColor="text1"/>
                <w:sz w:val="20"/>
                <w:szCs w:val="21"/>
              </w:rPr>
            </w:pPr>
            <w:r w:rsidRPr="00B17612">
              <w:rPr>
                <w:rFonts w:eastAsia="宋体"/>
                <w:color w:val="000000" w:themeColor="text1"/>
                <w:sz w:val="20"/>
                <w:szCs w:val="21"/>
              </w:rPr>
              <w:t xml:space="preserve">RAN4 to agree that </w:t>
            </w:r>
            <w:proofErr w:type="spellStart"/>
            <w:r w:rsidRPr="00B17612">
              <w:rPr>
                <w:rFonts w:eastAsia="宋体"/>
                <w:color w:val="000000" w:themeColor="text1"/>
                <w:sz w:val="20"/>
                <w:szCs w:val="21"/>
              </w:rPr>
              <w:t>Ecat</w:t>
            </w:r>
            <w:proofErr w:type="spellEnd"/>
            <w:r w:rsidRPr="00B17612">
              <w:rPr>
                <w:rFonts w:eastAsia="宋体"/>
                <w:color w:val="000000" w:themeColor="text1"/>
                <w:sz w:val="20"/>
                <w:szCs w:val="21"/>
              </w:rPr>
              <w:t xml:space="preserve"> capability for LTM L1 measurements includes both </w:t>
            </w:r>
            <w:proofErr w:type="spellStart"/>
            <w:r w:rsidRPr="00B17612">
              <w:rPr>
                <w:rFonts w:eastAsia="宋体"/>
                <w:color w:val="000000" w:themeColor="text1"/>
                <w:sz w:val="20"/>
                <w:szCs w:val="21"/>
              </w:rPr>
              <w:t>PCell</w:t>
            </w:r>
            <w:proofErr w:type="spellEnd"/>
            <w:r w:rsidRPr="00B17612">
              <w:rPr>
                <w:rFonts w:eastAsia="宋体"/>
                <w:color w:val="000000" w:themeColor="text1"/>
                <w:sz w:val="20"/>
                <w:szCs w:val="21"/>
              </w:rPr>
              <w:t xml:space="preserve"> event, and candidate cells’ events. The detail number of </w:t>
            </w:r>
            <w:proofErr w:type="spellStart"/>
            <w:r w:rsidRPr="00B17612">
              <w:rPr>
                <w:rFonts w:eastAsia="宋体"/>
                <w:color w:val="000000" w:themeColor="text1"/>
                <w:sz w:val="20"/>
                <w:szCs w:val="21"/>
              </w:rPr>
              <w:t>Ecat</w:t>
            </w:r>
            <w:proofErr w:type="spellEnd"/>
            <w:r w:rsidRPr="00B17612">
              <w:rPr>
                <w:rFonts w:eastAsia="宋体"/>
                <w:color w:val="000000" w:themeColor="text1"/>
                <w:sz w:val="20"/>
                <w:szCs w:val="21"/>
              </w:rPr>
              <w:t xml:space="preserve"> is FFS</w:t>
            </w:r>
          </w:p>
          <w:p w14:paraId="6C965475" w14:textId="77777777" w:rsidR="00B17612" w:rsidRPr="00B17612" w:rsidRDefault="00B17612" w:rsidP="00B17612">
            <w:pPr>
              <w:pStyle w:val="ListParagraph"/>
              <w:numPr>
                <w:ilvl w:val="0"/>
                <w:numId w:val="14"/>
              </w:numPr>
              <w:overflowPunct w:val="0"/>
              <w:autoSpaceDE w:val="0"/>
              <w:autoSpaceDN w:val="0"/>
              <w:adjustRightInd w:val="0"/>
              <w:spacing w:after="120"/>
              <w:contextualSpacing w:val="0"/>
              <w:textAlignment w:val="baseline"/>
              <w:rPr>
                <w:rFonts w:eastAsia="宋体"/>
                <w:color w:val="000000" w:themeColor="text1"/>
                <w:sz w:val="20"/>
                <w:szCs w:val="21"/>
              </w:rPr>
            </w:pPr>
            <w:r w:rsidRPr="00B17612">
              <w:rPr>
                <w:rFonts w:eastAsia="宋体"/>
                <w:color w:val="000000" w:themeColor="text1"/>
                <w:sz w:val="20"/>
                <w:szCs w:val="21"/>
              </w:rPr>
              <w:t xml:space="preserve">Option 2: </w:t>
            </w:r>
            <w:r w:rsidRPr="00B17612">
              <w:rPr>
                <w:rFonts w:eastAsia="宋体"/>
                <w:bCs/>
                <w:color w:val="000000" w:themeColor="text1"/>
                <w:sz w:val="20"/>
                <w:szCs w:val="21"/>
              </w:rPr>
              <w:t>update the existing requirements to cover L1 event triggered reporting criteria per measurement category. (OPPO)</w:t>
            </w:r>
          </w:p>
          <w:p w14:paraId="3F3539AE" w14:textId="7D545C75" w:rsidR="00931DC8" w:rsidRPr="00B17612" w:rsidRDefault="00B17612" w:rsidP="00B17612">
            <w:pPr>
              <w:pStyle w:val="ListParagraph"/>
              <w:numPr>
                <w:ilvl w:val="0"/>
                <w:numId w:val="14"/>
              </w:numPr>
              <w:overflowPunct w:val="0"/>
              <w:autoSpaceDE w:val="0"/>
              <w:autoSpaceDN w:val="0"/>
              <w:adjustRightInd w:val="0"/>
              <w:spacing w:after="120"/>
              <w:contextualSpacing w:val="0"/>
              <w:textAlignment w:val="baseline"/>
              <w:rPr>
                <w:rFonts w:eastAsia="宋体"/>
                <w:color w:val="000000" w:themeColor="text1"/>
              </w:rPr>
            </w:pPr>
            <w:r w:rsidRPr="00B17612">
              <w:rPr>
                <w:rFonts w:eastAsia="宋体"/>
                <w:color w:val="000000" w:themeColor="text1"/>
                <w:sz w:val="20"/>
                <w:szCs w:val="21"/>
              </w:rPr>
              <w:t>Option 3: assuming new UE capabilities regarding support of event triggering needs to be introduced, RAN4 shall discuss whether it is still necessary to update/introduce new Event Triggering and Reporting Criteria for LTM. (Apple)</w:t>
            </w:r>
          </w:p>
        </w:tc>
      </w:tr>
    </w:tbl>
    <w:p w14:paraId="7A50FCFA" w14:textId="77777777" w:rsidR="004476D9" w:rsidRDefault="004476D9" w:rsidP="00931DC8">
      <w:pPr>
        <w:pStyle w:val="Caption"/>
        <w:rPr>
          <w:b w:val="0"/>
          <w:bCs/>
        </w:rPr>
      </w:pPr>
    </w:p>
    <w:p w14:paraId="2545C76A" w14:textId="77777777" w:rsidR="00EF27AF" w:rsidRPr="006B319F" w:rsidRDefault="00EF27AF" w:rsidP="00EF27AF">
      <w:pPr>
        <w:rPr>
          <w:bCs/>
          <w:sz w:val="20"/>
          <w:szCs w:val="20"/>
        </w:rPr>
      </w:pPr>
      <w:r w:rsidRPr="006B319F">
        <w:rPr>
          <w:bCs/>
          <w:sz w:val="20"/>
          <w:szCs w:val="20"/>
        </w:rPr>
        <w:lastRenderedPageBreak/>
        <w:t xml:space="preserve">In our understanding, the goal of event triggered L1 measurement reporting is to replace L3 report and used to trigger LTM. With this understanding, for the frequency layers configured with event triggered L1 measurement reporting, it is not necessary to have event triggered L3 measurement reporting. </w:t>
      </w:r>
    </w:p>
    <w:p w14:paraId="59C9365C" w14:textId="0E400078" w:rsidR="00EF27AF" w:rsidRDefault="00EF27AF" w:rsidP="00EF27AF">
      <w:pPr>
        <w:rPr>
          <w:bCs/>
          <w:sz w:val="20"/>
          <w:szCs w:val="20"/>
        </w:rPr>
      </w:pPr>
      <w:r w:rsidRPr="006B319F">
        <w:rPr>
          <w:rFonts w:hint="eastAsia"/>
          <w:bCs/>
          <w:sz w:val="20"/>
          <w:szCs w:val="20"/>
        </w:rPr>
        <w:t>B</w:t>
      </w:r>
      <w:r w:rsidRPr="006B319F">
        <w:rPr>
          <w:bCs/>
          <w:sz w:val="20"/>
          <w:szCs w:val="20"/>
        </w:rPr>
        <w:t>ut on the other hand, NW may configure and adjust event triggered L1 measurement reporting based on L3 report. Then there will be both L3 event and L1 event for the same frequency layer. We think it is reasonable to introduce extra UE capability to support event triggered L1 measurement reporting.</w:t>
      </w:r>
    </w:p>
    <w:p w14:paraId="7C0F5B6D" w14:textId="450EAC72" w:rsidR="00C50258" w:rsidRDefault="00BE57CA" w:rsidP="00EF27AF">
      <w:pPr>
        <w:rPr>
          <w:bCs/>
          <w:sz w:val="20"/>
          <w:szCs w:val="20"/>
        </w:rPr>
      </w:pPr>
      <w:r>
        <w:rPr>
          <w:rFonts w:hint="eastAsia"/>
          <w:bCs/>
          <w:sz w:val="20"/>
          <w:szCs w:val="20"/>
        </w:rPr>
        <w:t>Regarding</w:t>
      </w:r>
      <w:r>
        <w:rPr>
          <w:bCs/>
          <w:sz w:val="20"/>
          <w:szCs w:val="20"/>
        </w:rPr>
        <w:t xml:space="preserve"> Option 3, </w:t>
      </w:r>
      <w:r w:rsidR="00C50258">
        <w:rPr>
          <w:bCs/>
          <w:sz w:val="20"/>
          <w:szCs w:val="20"/>
        </w:rPr>
        <w:t xml:space="preserve">checking the capabilities agreed or in discussion for event triggered L1 measurement reporting, it seems there is only one capability </w:t>
      </w:r>
      <w:r w:rsidR="00F27584">
        <w:rPr>
          <w:rFonts w:hint="eastAsia"/>
          <w:bCs/>
          <w:sz w:val="20"/>
          <w:szCs w:val="20"/>
        </w:rPr>
        <w:t xml:space="preserve">related </w:t>
      </w:r>
      <w:r w:rsidR="00C50258">
        <w:rPr>
          <w:bCs/>
          <w:sz w:val="20"/>
          <w:szCs w:val="20"/>
        </w:rPr>
        <w:t>in discussion as shown below.</w:t>
      </w:r>
    </w:p>
    <w:tbl>
      <w:tblPr>
        <w:tblStyle w:val="TableGrid"/>
        <w:tblW w:w="0" w:type="auto"/>
        <w:tblLook w:val="04A0" w:firstRow="1" w:lastRow="0" w:firstColumn="1" w:lastColumn="0" w:noHBand="0" w:noVBand="1"/>
      </w:tblPr>
      <w:tblGrid>
        <w:gridCol w:w="9629"/>
      </w:tblGrid>
      <w:tr w:rsidR="00C50258" w14:paraId="179F90B0" w14:textId="77777777" w:rsidTr="00CF3788">
        <w:tc>
          <w:tcPr>
            <w:tcW w:w="9629" w:type="dxa"/>
          </w:tcPr>
          <w:p w14:paraId="50FC0194" w14:textId="77777777" w:rsidR="00C50258" w:rsidRPr="00C50258" w:rsidRDefault="00C50258" w:rsidP="00CF3788">
            <w:pPr>
              <w:snapToGrid w:val="0"/>
              <w:rPr>
                <w:rFonts w:ascii="Times" w:eastAsia="宋体" w:hAnsi="Times"/>
                <w:b/>
                <w:sz w:val="18"/>
                <w:szCs w:val="16"/>
                <w:lang w:val="en-GB"/>
              </w:rPr>
            </w:pPr>
            <w:r w:rsidRPr="00C50258">
              <w:rPr>
                <w:rFonts w:ascii="Times" w:eastAsia="宋体" w:hAnsi="Times" w:hint="eastAsia"/>
                <w:b/>
                <w:sz w:val="18"/>
                <w:szCs w:val="16"/>
                <w:lang w:val="en-GB"/>
              </w:rPr>
              <w:t>R</w:t>
            </w:r>
            <w:r w:rsidRPr="00C50258">
              <w:rPr>
                <w:rFonts w:ascii="Times" w:eastAsia="宋体" w:hAnsi="Times"/>
                <w:b/>
                <w:sz w:val="18"/>
                <w:szCs w:val="16"/>
                <w:lang w:val="en-GB"/>
              </w:rPr>
              <w:t>AN1#120bis</w:t>
            </w:r>
          </w:p>
          <w:p w14:paraId="6ED567D3" w14:textId="77777777" w:rsidR="00C50258" w:rsidRPr="00C50258" w:rsidRDefault="00C50258" w:rsidP="00CF3788">
            <w:pPr>
              <w:snapToGrid w:val="0"/>
              <w:rPr>
                <w:rFonts w:ascii="Times" w:eastAsia="宋体" w:hAnsi="Times"/>
                <w:sz w:val="18"/>
                <w:szCs w:val="16"/>
                <w:lang w:val="en-GB"/>
              </w:rPr>
            </w:pPr>
            <w:r w:rsidRPr="00C50258">
              <w:rPr>
                <w:rFonts w:ascii="Times" w:eastAsia="宋体" w:hAnsi="Times"/>
                <w:b/>
                <w:sz w:val="18"/>
                <w:szCs w:val="16"/>
                <w:highlight w:val="green"/>
                <w:lang w:val="en-GB"/>
              </w:rPr>
              <w:t>Agreement</w:t>
            </w:r>
          </w:p>
          <w:p w14:paraId="0BFCFA6C" w14:textId="77777777" w:rsidR="00C50258" w:rsidRPr="00C50258" w:rsidRDefault="00C50258" w:rsidP="00CF3788">
            <w:pPr>
              <w:rPr>
                <w:rFonts w:ascii="Times" w:eastAsia="Batang" w:hAnsi="Times"/>
                <w:sz w:val="18"/>
                <w:szCs w:val="21"/>
                <w:lang w:val="en-GB"/>
              </w:rPr>
            </w:pPr>
            <w:r w:rsidRPr="00C50258">
              <w:rPr>
                <w:rFonts w:ascii="Times" w:eastAsia="Batang" w:hAnsi="Times"/>
                <w:sz w:val="18"/>
                <w:szCs w:val="21"/>
                <w:lang w:val="en-GB"/>
              </w:rPr>
              <w:t xml:space="preserve">Regarding the LS from RAN2 (R1-2501686) the following contents are included in the </w:t>
            </w:r>
            <w:proofErr w:type="gramStart"/>
            <w:r w:rsidRPr="00C50258">
              <w:rPr>
                <w:rFonts w:ascii="Times" w:eastAsia="Batang" w:hAnsi="Times"/>
                <w:sz w:val="18"/>
                <w:szCs w:val="21"/>
                <w:lang w:val="en-GB"/>
              </w:rPr>
              <w:t>reply</w:t>
            </w:r>
            <w:proofErr w:type="gramEnd"/>
            <w:r w:rsidRPr="00C50258">
              <w:rPr>
                <w:rFonts w:ascii="Times" w:eastAsia="Batang" w:hAnsi="Times"/>
                <w:sz w:val="18"/>
                <w:szCs w:val="21"/>
                <w:lang w:val="en-GB"/>
              </w:rPr>
              <w:t xml:space="preserve"> LS.</w:t>
            </w:r>
          </w:p>
          <w:p w14:paraId="031FC2F3" w14:textId="77777777" w:rsidR="00C50258" w:rsidRPr="00C50258" w:rsidRDefault="00C50258" w:rsidP="00C50258">
            <w:pPr>
              <w:numPr>
                <w:ilvl w:val="0"/>
                <w:numId w:val="22"/>
              </w:numPr>
              <w:rPr>
                <w:rFonts w:ascii="Times" w:eastAsia="Batang" w:hAnsi="Times"/>
                <w:sz w:val="18"/>
                <w:szCs w:val="21"/>
                <w:lang w:val="en-GB"/>
              </w:rPr>
            </w:pPr>
            <w:r w:rsidRPr="00C50258">
              <w:rPr>
                <w:rFonts w:ascii="Times" w:eastAsia="Batang" w:hAnsi="Times"/>
                <w:sz w:val="18"/>
                <w:szCs w:val="21"/>
                <w:lang w:val="en-GB"/>
              </w:rPr>
              <w:t xml:space="preserve">RAN1 assumes </w:t>
            </w:r>
            <w:r w:rsidRPr="00C50258">
              <w:rPr>
                <w:rFonts w:ascii="Times" w:eastAsia="Batang" w:hAnsi="Times"/>
                <w:sz w:val="18"/>
                <w:szCs w:val="21"/>
                <w:highlight w:val="yellow"/>
                <w:lang w:val="en-GB"/>
              </w:rPr>
              <w:t>at maximum 16 beams</w:t>
            </w:r>
            <w:r w:rsidRPr="00C50258">
              <w:rPr>
                <w:rFonts w:ascii="Times" w:eastAsia="Batang" w:hAnsi="Times"/>
                <w:sz w:val="18"/>
                <w:szCs w:val="21"/>
                <w:lang w:val="en-GB"/>
              </w:rPr>
              <w:t xml:space="preserve"> can be reported by a single event triggered </w:t>
            </w:r>
            <w:proofErr w:type="gramStart"/>
            <w:r w:rsidRPr="00C50258">
              <w:rPr>
                <w:rFonts w:ascii="Times" w:eastAsia="Batang" w:hAnsi="Times"/>
                <w:sz w:val="18"/>
                <w:szCs w:val="21"/>
                <w:lang w:val="en-GB"/>
              </w:rPr>
              <w:t>reporting</w:t>
            </w:r>
            <w:proofErr w:type="gramEnd"/>
          </w:p>
          <w:p w14:paraId="7486A337" w14:textId="77777777" w:rsidR="00C50258" w:rsidRPr="00C50258" w:rsidRDefault="00C50258" w:rsidP="00C50258">
            <w:pPr>
              <w:numPr>
                <w:ilvl w:val="1"/>
                <w:numId w:val="22"/>
              </w:numPr>
              <w:rPr>
                <w:rFonts w:ascii="Times" w:eastAsia="Batang" w:hAnsi="Times"/>
                <w:sz w:val="18"/>
                <w:szCs w:val="21"/>
                <w:lang w:val="en-GB"/>
              </w:rPr>
            </w:pPr>
            <w:proofErr w:type="gramStart"/>
            <w:r w:rsidRPr="00C50258">
              <w:rPr>
                <w:rFonts w:ascii="Times" w:eastAsia="Batang" w:hAnsi="Times"/>
                <w:sz w:val="18"/>
                <w:szCs w:val="21"/>
                <w:lang w:val="en-GB"/>
              </w:rPr>
              <w:t>Regardless</w:t>
            </w:r>
            <w:proofErr w:type="gramEnd"/>
            <w:r w:rsidRPr="00C50258">
              <w:rPr>
                <w:rFonts w:ascii="Times" w:eastAsia="Batang" w:hAnsi="Times"/>
                <w:sz w:val="18"/>
                <w:szCs w:val="21"/>
                <w:lang w:val="en-GB"/>
              </w:rPr>
              <w:t xml:space="preserve"> whether or not the report includes the current beam</w:t>
            </w:r>
          </w:p>
          <w:p w14:paraId="6C306500" w14:textId="77777777" w:rsidR="00C50258" w:rsidRPr="00C50258" w:rsidRDefault="00C50258" w:rsidP="00C50258">
            <w:pPr>
              <w:numPr>
                <w:ilvl w:val="1"/>
                <w:numId w:val="22"/>
              </w:numPr>
              <w:rPr>
                <w:rFonts w:ascii="Times" w:eastAsia="Batang" w:hAnsi="Times"/>
                <w:sz w:val="18"/>
                <w:szCs w:val="21"/>
                <w:lang w:val="en-GB"/>
              </w:rPr>
            </w:pPr>
            <w:r w:rsidRPr="00C50258">
              <w:rPr>
                <w:rFonts w:ascii="Times" w:eastAsia="Batang" w:hAnsi="Times"/>
                <w:sz w:val="18"/>
                <w:szCs w:val="21"/>
                <w:lang w:val="en-GB"/>
              </w:rPr>
              <w:t xml:space="preserve">Note: The maximum number of beams that can be reported by a UE </w:t>
            </w:r>
            <w:r w:rsidRPr="00C50258">
              <w:rPr>
                <w:rFonts w:ascii="Times" w:eastAsia="Batang" w:hAnsi="Times"/>
                <w:sz w:val="18"/>
                <w:szCs w:val="21"/>
                <w:highlight w:val="yellow"/>
                <w:lang w:val="en-GB"/>
              </w:rPr>
              <w:t>subject to UE capability</w:t>
            </w:r>
            <w:r w:rsidRPr="00C50258">
              <w:rPr>
                <w:rFonts w:ascii="Times" w:eastAsia="Batang" w:hAnsi="Times"/>
                <w:sz w:val="18"/>
                <w:szCs w:val="21"/>
                <w:lang w:val="en-GB"/>
              </w:rPr>
              <w:t xml:space="preserve"> is under discussion in RAN1</w:t>
            </w:r>
          </w:p>
        </w:tc>
      </w:tr>
    </w:tbl>
    <w:p w14:paraId="26CFB017" w14:textId="68669A61" w:rsidR="00BE57CA" w:rsidRDefault="00BE57CA" w:rsidP="00EF27AF">
      <w:pPr>
        <w:rPr>
          <w:bCs/>
          <w:sz w:val="20"/>
          <w:szCs w:val="20"/>
        </w:rPr>
      </w:pPr>
    </w:p>
    <w:p w14:paraId="313C59A9" w14:textId="06D5293C" w:rsidR="00752F28" w:rsidRPr="00F91ECB" w:rsidRDefault="00056E67" w:rsidP="00C62C47">
      <w:pPr>
        <w:rPr>
          <w:bCs/>
          <w:sz w:val="20"/>
          <w:szCs w:val="20"/>
        </w:rPr>
      </w:pPr>
      <w:r>
        <w:rPr>
          <w:rFonts w:hint="eastAsia"/>
          <w:bCs/>
          <w:sz w:val="20"/>
          <w:szCs w:val="20"/>
        </w:rPr>
        <w:t>F</w:t>
      </w:r>
      <w:r w:rsidR="00752F28" w:rsidRPr="00752F28">
        <w:rPr>
          <w:bCs/>
          <w:sz w:val="20"/>
          <w:szCs w:val="20"/>
        </w:rPr>
        <w:t xml:space="preserve">or L3 measurement, the events for intra-frequency and inter-frequency are viewed as different events. It is straightforward for L3 measurement, as each report configuration is linked to a </w:t>
      </w:r>
      <w:proofErr w:type="spellStart"/>
      <w:r w:rsidR="00752F28" w:rsidRPr="00752F28">
        <w:rPr>
          <w:bCs/>
          <w:sz w:val="20"/>
          <w:szCs w:val="20"/>
        </w:rPr>
        <w:t>measObject</w:t>
      </w:r>
      <w:proofErr w:type="spellEnd"/>
      <w:r w:rsidR="00752F28" w:rsidRPr="00752F28">
        <w:rPr>
          <w:bCs/>
          <w:sz w:val="20"/>
          <w:szCs w:val="20"/>
        </w:rPr>
        <w:t xml:space="preserve"> which is for a single frequency layer</w:t>
      </w:r>
      <w:r w:rsidR="00752F28">
        <w:rPr>
          <w:rFonts w:hint="eastAsia"/>
          <w:bCs/>
          <w:sz w:val="20"/>
          <w:szCs w:val="20"/>
        </w:rPr>
        <w:t>.</w:t>
      </w:r>
      <w:r w:rsidR="00AB3EC3">
        <w:rPr>
          <w:rFonts w:hint="eastAsia"/>
          <w:bCs/>
          <w:sz w:val="20"/>
          <w:szCs w:val="20"/>
        </w:rPr>
        <w:t xml:space="preserve"> Take </w:t>
      </w:r>
      <w:r w:rsidR="00AB3EC3" w:rsidRPr="00AB3EC3">
        <w:rPr>
          <w:bCs/>
          <w:sz w:val="20"/>
          <w:szCs w:val="20"/>
        </w:rPr>
        <w:t>UE configured with SA operation mode</w:t>
      </w:r>
      <w:r w:rsidR="00AB3EC3" w:rsidRPr="00AB3EC3">
        <w:rPr>
          <w:rFonts w:hint="eastAsia"/>
          <w:bCs/>
          <w:sz w:val="20"/>
          <w:szCs w:val="20"/>
        </w:rPr>
        <w:t xml:space="preserve"> as an example, the total</w:t>
      </w:r>
      <w:r w:rsidR="00AB3EC3">
        <w:rPr>
          <w:rFonts w:hint="eastAsia"/>
          <w:bCs/>
          <w:sz w:val="20"/>
          <w:szCs w:val="20"/>
        </w:rPr>
        <w:t xml:space="preserve"> number of </w:t>
      </w:r>
      <w:r w:rsidR="00AB3EC3" w:rsidRPr="00AB3EC3">
        <w:rPr>
          <w:bCs/>
          <w:sz w:val="20"/>
          <w:szCs w:val="20"/>
        </w:rPr>
        <w:t>NR reporting criteria</w:t>
      </w:r>
      <w:r w:rsidR="00AB3EC3">
        <w:rPr>
          <w:rFonts w:hint="eastAsia"/>
          <w:bCs/>
          <w:sz w:val="20"/>
          <w:szCs w:val="20"/>
        </w:rPr>
        <w:t xml:space="preserve"> is </w:t>
      </w:r>
      <w:r w:rsidR="00AB3EC3" w:rsidRPr="00F91ECB">
        <w:rPr>
          <w:bCs/>
          <w:sz w:val="20"/>
          <w:szCs w:val="20"/>
        </w:rPr>
        <w:object w:dxaOrig="2070" w:dyaOrig="285" w14:anchorId="2522D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14.55pt" o:ole="">
            <v:imagedata r:id="rId8" o:title=""/>
          </v:shape>
          <o:OLEObject Type="Embed" ProgID="Equation.3" ShapeID="_x0000_i1025" DrawAspect="Content" ObjectID="_1816774484" r:id="rId9"/>
        </w:object>
      </w:r>
      <w:r w:rsidR="00AB3EC3" w:rsidRPr="00F91ECB">
        <w:rPr>
          <w:rFonts w:hint="eastAsia"/>
          <w:bCs/>
          <w:sz w:val="20"/>
          <w:szCs w:val="20"/>
        </w:rPr>
        <w:t xml:space="preserve">, </w:t>
      </w:r>
      <w:r w:rsidR="00AB3EC3" w:rsidRPr="00F91ECB">
        <w:rPr>
          <w:bCs/>
          <w:sz w:val="20"/>
          <w:szCs w:val="20"/>
        </w:rPr>
        <w:t xml:space="preserve">where n is the number of configured NR serving frequencies, including </w:t>
      </w:r>
      <w:proofErr w:type="spellStart"/>
      <w:r w:rsidR="00AB3EC3" w:rsidRPr="00F91ECB">
        <w:rPr>
          <w:bCs/>
          <w:sz w:val="20"/>
          <w:szCs w:val="20"/>
        </w:rPr>
        <w:t>PCell</w:t>
      </w:r>
      <w:proofErr w:type="spellEnd"/>
      <w:r w:rsidR="00AB3EC3" w:rsidRPr="00F91ECB">
        <w:rPr>
          <w:bCs/>
          <w:sz w:val="20"/>
          <w:szCs w:val="20"/>
        </w:rPr>
        <w:t xml:space="preserve">, and </w:t>
      </w:r>
      <w:proofErr w:type="spellStart"/>
      <w:r w:rsidR="00AB3EC3" w:rsidRPr="00F91ECB">
        <w:rPr>
          <w:bCs/>
          <w:sz w:val="20"/>
          <w:szCs w:val="20"/>
        </w:rPr>
        <w:t>SCells</w:t>
      </w:r>
      <w:proofErr w:type="spellEnd"/>
      <w:r w:rsidR="00AB3EC3" w:rsidRPr="00F91ECB">
        <w:rPr>
          <w:bCs/>
          <w:sz w:val="20"/>
          <w:szCs w:val="20"/>
        </w:rPr>
        <w:t xml:space="preserve"> carrier frequencies. In FR</w:t>
      </w:r>
      <w:r w:rsidRPr="00F91ECB">
        <w:rPr>
          <w:rFonts w:hint="eastAsia"/>
          <w:bCs/>
          <w:sz w:val="20"/>
          <w:szCs w:val="20"/>
        </w:rPr>
        <w:t>2</w:t>
      </w:r>
      <w:r w:rsidR="00AB3EC3" w:rsidRPr="00F91ECB">
        <w:rPr>
          <w:bCs/>
          <w:sz w:val="20"/>
          <w:szCs w:val="20"/>
        </w:rPr>
        <w:t>, for each frequency layer</w:t>
      </w:r>
      <w:r w:rsidR="00C62C47" w:rsidRPr="00F91ECB">
        <w:rPr>
          <w:rFonts w:hint="eastAsia"/>
          <w:bCs/>
          <w:sz w:val="20"/>
          <w:szCs w:val="20"/>
        </w:rPr>
        <w:t xml:space="preserve">, </w:t>
      </w:r>
      <w:r w:rsidR="00C62C47" w:rsidRPr="00F91ECB">
        <w:rPr>
          <w:bCs/>
          <w:sz w:val="20"/>
          <w:szCs w:val="20"/>
        </w:rPr>
        <w:t xml:space="preserve">the UE shall be capable of performing </w:t>
      </w:r>
      <w:r w:rsidR="00C62C47" w:rsidRPr="00F91ECB">
        <w:rPr>
          <w:rFonts w:hint="eastAsia"/>
          <w:bCs/>
          <w:sz w:val="20"/>
          <w:szCs w:val="20"/>
        </w:rPr>
        <w:t>L3</w:t>
      </w:r>
      <w:r w:rsidR="00C62C47" w:rsidRPr="00F91ECB">
        <w:rPr>
          <w:bCs/>
          <w:sz w:val="20"/>
          <w:szCs w:val="20"/>
        </w:rPr>
        <w:t xml:space="preserve"> measurements for at least</w:t>
      </w:r>
      <w:r w:rsidR="00C62C47" w:rsidRPr="00F91ECB">
        <w:rPr>
          <w:rFonts w:hint="eastAsia"/>
          <w:bCs/>
          <w:sz w:val="20"/>
          <w:szCs w:val="20"/>
        </w:rPr>
        <w:t xml:space="preserve"> </w:t>
      </w:r>
      <w:r w:rsidRPr="00F91ECB">
        <w:rPr>
          <w:rFonts w:hint="eastAsia"/>
          <w:bCs/>
          <w:sz w:val="20"/>
          <w:szCs w:val="20"/>
        </w:rPr>
        <w:t>6</w:t>
      </w:r>
      <w:r w:rsidR="00C62C47" w:rsidRPr="00F91ECB">
        <w:rPr>
          <w:bCs/>
          <w:sz w:val="20"/>
          <w:szCs w:val="20"/>
        </w:rPr>
        <w:t xml:space="preserve"> identified cells</w:t>
      </w:r>
      <w:r w:rsidR="00C62C47" w:rsidRPr="00F91ECB">
        <w:rPr>
          <w:rFonts w:hint="eastAsia"/>
          <w:bCs/>
          <w:sz w:val="20"/>
          <w:szCs w:val="20"/>
        </w:rPr>
        <w:t xml:space="preserve">. </w:t>
      </w:r>
      <w:proofErr w:type="gramStart"/>
      <w:r w:rsidR="00C62C47" w:rsidRPr="00F91ECB">
        <w:rPr>
          <w:rFonts w:hint="eastAsia"/>
          <w:bCs/>
          <w:sz w:val="20"/>
          <w:szCs w:val="20"/>
        </w:rPr>
        <w:t>So</w:t>
      </w:r>
      <w:proofErr w:type="gramEnd"/>
      <w:r w:rsidR="00C62C47" w:rsidRPr="00F91ECB">
        <w:rPr>
          <w:rFonts w:hint="eastAsia"/>
          <w:bCs/>
          <w:sz w:val="20"/>
          <w:szCs w:val="20"/>
        </w:rPr>
        <w:t xml:space="preserve"> UE is supposed to be able to compare </w:t>
      </w:r>
      <w:r w:rsidRPr="00F91ECB">
        <w:rPr>
          <w:rFonts w:hint="eastAsia"/>
          <w:bCs/>
          <w:sz w:val="20"/>
          <w:szCs w:val="20"/>
        </w:rPr>
        <w:t>6</w:t>
      </w:r>
      <w:r w:rsidR="00C62C47" w:rsidRPr="00F91ECB">
        <w:rPr>
          <w:rFonts w:hint="eastAsia"/>
          <w:bCs/>
          <w:sz w:val="20"/>
          <w:szCs w:val="20"/>
        </w:rPr>
        <w:t xml:space="preserve"> x (10 + 9 x n) </w:t>
      </w:r>
      <w:r w:rsidR="00A73C10" w:rsidRPr="00F91ECB">
        <w:rPr>
          <w:rFonts w:hint="eastAsia"/>
          <w:bCs/>
          <w:sz w:val="20"/>
          <w:szCs w:val="20"/>
        </w:rPr>
        <w:t xml:space="preserve">values </w:t>
      </w:r>
      <w:r w:rsidR="00C62C47" w:rsidRPr="00F91ECB">
        <w:rPr>
          <w:rFonts w:hint="eastAsia"/>
          <w:bCs/>
          <w:sz w:val="20"/>
          <w:szCs w:val="20"/>
        </w:rPr>
        <w:t xml:space="preserve">with the configured thresholds. </w:t>
      </w:r>
    </w:p>
    <w:p w14:paraId="3096D00D" w14:textId="26E54D85" w:rsidR="00E97E95" w:rsidRPr="00E97E95" w:rsidRDefault="00752F28" w:rsidP="00EF27AF">
      <w:pPr>
        <w:rPr>
          <w:bCs/>
          <w:sz w:val="20"/>
          <w:szCs w:val="20"/>
        </w:rPr>
      </w:pPr>
      <w:r>
        <w:rPr>
          <w:bCs/>
          <w:sz w:val="20"/>
          <w:szCs w:val="20"/>
        </w:rPr>
        <w:t xml:space="preserve">But for L1 measurement and report, </w:t>
      </w:r>
      <w:r>
        <w:rPr>
          <w:rFonts w:hint="eastAsia"/>
          <w:bCs/>
          <w:sz w:val="20"/>
          <w:szCs w:val="20"/>
        </w:rPr>
        <w:t>a</w:t>
      </w:r>
      <w:r w:rsidR="00F27584">
        <w:rPr>
          <w:rFonts w:hint="eastAsia"/>
          <w:bCs/>
          <w:sz w:val="20"/>
          <w:szCs w:val="20"/>
        </w:rPr>
        <w:t xml:space="preserve">ccording to RAN1/2 conclusion, </w:t>
      </w:r>
      <w:r w:rsidR="00BE57CA">
        <w:rPr>
          <w:bCs/>
          <w:sz w:val="20"/>
          <w:szCs w:val="20"/>
        </w:rPr>
        <w:t>L1 events will be configured under “</w:t>
      </w:r>
      <w:r w:rsidR="00BE57CA" w:rsidRPr="00BE57CA">
        <w:rPr>
          <w:bCs/>
          <w:sz w:val="20"/>
          <w:szCs w:val="20"/>
        </w:rPr>
        <w:t>LTM-CSI-ReportConfig-r18</w:t>
      </w:r>
      <w:r w:rsidR="00BE57CA">
        <w:rPr>
          <w:bCs/>
          <w:sz w:val="20"/>
          <w:szCs w:val="20"/>
        </w:rPr>
        <w:t xml:space="preserve">”. </w:t>
      </w:r>
      <w:r>
        <w:rPr>
          <w:rFonts w:hint="eastAsia"/>
          <w:bCs/>
          <w:sz w:val="20"/>
          <w:szCs w:val="20"/>
        </w:rPr>
        <w:t>E</w:t>
      </w:r>
      <w:r>
        <w:rPr>
          <w:bCs/>
          <w:sz w:val="20"/>
          <w:szCs w:val="20"/>
        </w:rPr>
        <w:t>ach LTM-CSI-</w:t>
      </w:r>
      <w:proofErr w:type="spellStart"/>
      <w:r>
        <w:rPr>
          <w:bCs/>
          <w:sz w:val="20"/>
          <w:szCs w:val="20"/>
        </w:rPr>
        <w:t>ReportConfig</w:t>
      </w:r>
      <w:proofErr w:type="spellEnd"/>
      <w:r>
        <w:rPr>
          <w:bCs/>
          <w:sz w:val="20"/>
          <w:szCs w:val="20"/>
        </w:rPr>
        <w:t xml:space="preserve"> is linked to </w:t>
      </w:r>
      <w:proofErr w:type="gramStart"/>
      <w:r>
        <w:rPr>
          <w:bCs/>
          <w:sz w:val="20"/>
          <w:szCs w:val="20"/>
        </w:rPr>
        <w:t>a</w:t>
      </w:r>
      <w:proofErr w:type="gramEnd"/>
      <w:r>
        <w:rPr>
          <w:bCs/>
          <w:sz w:val="20"/>
          <w:szCs w:val="20"/>
        </w:rPr>
        <w:t xml:space="preserve"> LTM-CSI-</w:t>
      </w:r>
      <w:r>
        <w:rPr>
          <w:rFonts w:hint="eastAsia"/>
          <w:bCs/>
          <w:sz w:val="20"/>
          <w:szCs w:val="20"/>
        </w:rPr>
        <w:t>SSB-</w:t>
      </w:r>
      <w:proofErr w:type="spellStart"/>
      <w:r>
        <w:rPr>
          <w:bCs/>
          <w:sz w:val="20"/>
          <w:szCs w:val="20"/>
        </w:rPr>
        <w:t>Resource</w:t>
      </w:r>
      <w:r>
        <w:rPr>
          <w:rFonts w:hint="eastAsia"/>
          <w:bCs/>
          <w:sz w:val="20"/>
          <w:szCs w:val="20"/>
        </w:rPr>
        <w:t>Set</w:t>
      </w:r>
      <w:proofErr w:type="spellEnd"/>
      <w:r>
        <w:rPr>
          <w:rFonts w:hint="eastAsia"/>
          <w:bCs/>
          <w:sz w:val="20"/>
          <w:szCs w:val="20"/>
        </w:rPr>
        <w:t>.</w:t>
      </w:r>
      <w:r w:rsidR="00056E67">
        <w:rPr>
          <w:rFonts w:hint="eastAsia"/>
          <w:bCs/>
          <w:sz w:val="20"/>
          <w:szCs w:val="20"/>
        </w:rPr>
        <w:t xml:space="preserve"> </w:t>
      </w:r>
      <w:r w:rsidR="00C62C47">
        <w:rPr>
          <w:bCs/>
          <w:sz w:val="20"/>
          <w:szCs w:val="20"/>
        </w:rPr>
        <w:t>The maximum number of LTM-CSI-</w:t>
      </w:r>
      <w:proofErr w:type="spellStart"/>
      <w:r w:rsidR="00C62C47">
        <w:rPr>
          <w:bCs/>
          <w:sz w:val="20"/>
          <w:szCs w:val="20"/>
        </w:rPr>
        <w:t>ReportConfig</w:t>
      </w:r>
      <w:proofErr w:type="spellEnd"/>
      <w:r w:rsidR="00C62C47">
        <w:rPr>
          <w:bCs/>
          <w:sz w:val="20"/>
          <w:szCs w:val="20"/>
        </w:rPr>
        <w:t xml:space="preserve"> is maxNrofLTM-CSI-ReportConfigurations-r18, which is 48. At most 512 resources (maxNrofLTM-CSI-SSB-ResourcesPerSet-r18=512) can be linked with each LTM-CSI-ReportConfig-r18.</w:t>
      </w:r>
      <w:r w:rsidR="00C62C47">
        <w:rPr>
          <w:rFonts w:hint="eastAsia"/>
          <w:bCs/>
          <w:sz w:val="20"/>
          <w:szCs w:val="20"/>
        </w:rPr>
        <w:t xml:space="preserve"> </w:t>
      </w:r>
      <w:r w:rsidR="00A73C10">
        <w:rPr>
          <w:rFonts w:hint="eastAsia"/>
          <w:bCs/>
          <w:sz w:val="20"/>
          <w:szCs w:val="20"/>
        </w:rPr>
        <w:t xml:space="preserve">If there is no additional limit on the number of L1 events UE supports, the total number of values that UE is supposed to compare with the configured thresholds will be </w:t>
      </w:r>
      <w:r w:rsidR="00F91ECB">
        <w:rPr>
          <w:bCs/>
          <w:sz w:val="20"/>
          <w:szCs w:val="20"/>
        </w:rPr>
        <w:t>“</w:t>
      </w:r>
      <w:proofErr w:type="spellStart"/>
      <w:r w:rsidR="00A73C10">
        <w:rPr>
          <w:bCs/>
          <w:sz w:val="20"/>
          <w:szCs w:val="20"/>
        </w:rPr>
        <w:t>maxNrofLTM</w:t>
      </w:r>
      <w:proofErr w:type="spellEnd"/>
      <w:r w:rsidR="00A73C10">
        <w:rPr>
          <w:bCs/>
          <w:sz w:val="20"/>
          <w:szCs w:val="20"/>
        </w:rPr>
        <w:t>-CSI-</w:t>
      </w:r>
      <w:proofErr w:type="spellStart"/>
      <w:r w:rsidR="00A73C10">
        <w:rPr>
          <w:bCs/>
          <w:sz w:val="20"/>
          <w:szCs w:val="20"/>
        </w:rPr>
        <w:t>ReportConfigurations</w:t>
      </w:r>
      <w:proofErr w:type="spellEnd"/>
      <w:r w:rsidR="00F91ECB">
        <w:rPr>
          <w:bCs/>
          <w:sz w:val="20"/>
          <w:szCs w:val="20"/>
        </w:rPr>
        <w:t>”</w:t>
      </w:r>
      <w:r w:rsidR="00A73C10">
        <w:rPr>
          <w:rFonts w:hint="eastAsia"/>
          <w:bCs/>
          <w:sz w:val="20"/>
          <w:szCs w:val="20"/>
        </w:rPr>
        <w:t xml:space="preserve"> * </w:t>
      </w:r>
      <w:r w:rsidR="00F91ECB">
        <w:rPr>
          <w:bCs/>
          <w:sz w:val="20"/>
          <w:szCs w:val="20"/>
        </w:rPr>
        <w:t>“</w:t>
      </w:r>
      <w:r w:rsidR="00A73C10" w:rsidRPr="00A73C10">
        <w:rPr>
          <w:bCs/>
          <w:sz w:val="20"/>
          <w:szCs w:val="20"/>
        </w:rPr>
        <w:t>maximum number of beams</w:t>
      </w:r>
      <w:r w:rsidR="00F91ECB">
        <w:rPr>
          <w:bCs/>
          <w:sz w:val="20"/>
          <w:szCs w:val="20"/>
        </w:rPr>
        <w:t xml:space="preserve"> that </w:t>
      </w:r>
      <w:r w:rsidR="00A73C10" w:rsidRPr="00A73C10">
        <w:rPr>
          <w:bCs/>
          <w:sz w:val="20"/>
          <w:szCs w:val="20"/>
        </w:rPr>
        <w:t>can be reported can be reported by a single event triggered reporting</w:t>
      </w:r>
      <w:r w:rsidR="00F91ECB">
        <w:rPr>
          <w:bCs/>
          <w:sz w:val="20"/>
          <w:szCs w:val="20"/>
        </w:rPr>
        <w:t xml:space="preserve">”, </w:t>
      </w:r>
      <w:r w:rsidR="00A73C10">
        <w:rPr>
          <w:rFonts w:hint="eastAsia"/>
          <w:bCs/>
          <w:sz w:val="20"/>
          <w:szCs w:val="20"/>
        </w:rPr>
        <w:t>i.e.,</w:t>
      </w:r>
      <w:r w:rsidR="00A73C10" w:rsidRPr="00A73C10">
        <w:rPr>
          <w:rFonts w:hint="eastAsia"/>
          <w:bCs/>
          <w:sz w:val="20"/>
          <w:szCs w:val="20"/>
        </w:rPr>
        <w:t xml:space="preserve"> </w:t>
      </w:r>
      <w:r w:rsidR="00A73C10">
        <w:rPr>
          <w:rFonts w:hint="eastAsia"/>
          <w:bCs/>
          <w:sz w:val="20"/>
          <w:szCs w:val="20"/>
        </w:rPr>
        <w:t>48 * the above capability may be introduced by RAN1.</w:t>
      </w:r>
      <w:r w:rsidR="00722E55">
        <w:rPr>
          <w:rFonts w:hint="eastAsia"/>
          <w:bCs/>
          <w:sz w:val="20"/>
          <w:szCs w:val="20"/>
        </w:rPr>
        <w:t xml:space="preserve"> </w:t>
      </w:r>
      <w:r w:rsidR="00056E67">
        <w:rPr>
          <w:rFonts w:hint="eastAsia"/>
          <w:bCs/>
          <w:sz w:val="20"/>
          <w:szCs w:val="20"/>
        </w:rPr>
        <w:t xml:space="preserve">If UE wants to report 16 beams per </w:t>
      </w:r>
      <w:r w:rsidR="00056E67">
        <w:rPr>
          <w:bCs/>
          <w:sz w:val="20"/>
          <w:szCs w:val="20"/>
        </w:rPr>
        <w:t>event triggered reporting</w:t>
      </w:r>
      <w:r w:rsidR="00056E67">
        <w:rPr>
          <w:rFonts w:hint="eastAsia"/>
          <w:bCs/>
          <w:sz w:val="20"/>
          <w:szCs w:val="20"/>
        </w:rPr>
        <w:t>, then the complexity is roughly 48*16/(6*(10+9n))</w:t>
      </w:r>
      <w:r w:rsidR="00F819FE">
        <w:rPr>
          <w:bCs/>
          <w:sz w:val="20"/>
          <w:szCs w:val="20"/>
        </w:rPr>
        <w:t xml:space="preserve"> times of L3 events</w:t>
      </w:r>
      <w:r w:rsidR="00056E67">
        <w:rPr>
          <w:rFonts w:hint="eastAsia"/>
          <w:bCs/>
          <w:sz w:val="20"/>
          <w:szCs w:val="20"/>
        </w:rPr>
        <w:t xml:space="preserve">, which is about 14 </w:t>
      </w:r>
      <w:r w:rsidR="00F819FE">
        <w:rPr>
          <w:bCs/>
          <w:sz w:val="20"/>
          <w:szCs w:val="20"/>
        </w:rPr>
        <w:t xml:space="preserve">times </w:t>
      </w:r>
      <w:r w:rsidR="00056E67">
        <w:rPr>
          <w:rFonts w:hint="eastAsia"/>
          <w:bCs/>
          <w:sz w:val="20"/>
          <w:szCs w:val="20"/>
        </w:rPr>
        <w:t xml:space="preserve">for non-CA case. In one L1 event configuration, </w:t>
      </w:r>
      <w:r w:rsidR="00056E67">
        <w:rPr>
          <w:bCs/>
          <w:sz w:val="20"/>
          <w:szCs w:val="20"/>
        </w:rPr>
        <w:t>the SSB/CSI-RS to measure can be from any LTM candidate cell (intra-f or inter-f)</w:t>
      </w:r>
      <w:r w:rsidR="00056E67">
        <w:rPr>
          <w:rFonts w:hint="eastAsia"/>
          <w:bCs/>
          <w:sz w:val="20"/>
          <w:szCs w:val="20"/>
        </w:rPr>
        <w:t xml:space="preserve"> and NW can configure different offsets for each candidate (using the IE </w:t>
      </w:r>
      <w:r w:rsidR="00056E67" w:rsidRPr="00056E67">
        <w:rPr>
          <w:bCs/>
          <w:sz w:val="20"/>
          <w:szCs w:val="20"/>
        </w:rPr>
        <w:t>candidateSpecificOffset-r19</w:t>
      </w:r>
      <w:r w:rsidR="00056E67">
        <w:rPr>
          <w:rFonts w:hint="eastAsia"/>
          <w:bCs/>
          <w:sz w:val="20"/>
          <w:szCs w:val="20"/>
        </w:rPr>
        <w:t xml:space="preserve">). </w:t>
      </w:r>
      <w:r w:rsidR="002F4FB2">
        <w:rPr>
          <w:rFonts w:hint="eastAsia"/>
          <w:bCs/>
          <w:sz w:val="20"/>
          <w:szCs w:val="20"/>
        </w:rPr>
        <w:t xml:space="preserve">It means that the </w:t>
      </w:r>
      <w:proofErr w:type="spellStart"/>
      <w:r w:rsidR="002F4FB2">
        <w:rPr>
          <w:rFonts w:hint="eastAsia"/>
          <w:bCs/>
          <w:sz w:val="20"/>
          <w:szCs w:val="20"/>
        </w:rPr>
        <w:t>signalling</w:t>
      </w:r>
      <w:proofErr w:type="spellEnd"/>
      <w:r w:rsidR="002F4FB2">
        <w:rPr>
          <w:rFonts w:hint="eastAsia"/>
          <w:bCs/>
          <w:sz w:val="20"/>
          <w:szCs w:val="20"/>
        </w:rPr>
        <w:t xml:space="preserve"> design is flexible enough to configure a particular LTM event for all candidates in a single L1 event configuration. There are only four types of L1 events (Event LTM2,3,4,5) in total. We don</w:t>
      </w:r>
      <w:r w:rsidR="002F4FB2">
        <w:rPr>
          <w:bCs/>
          <w:sz w:val="20"/>
          <w:szCs w:val="20"/>
        </w:rPr>
        <w:t>’</w:t>
      </w:r>
      <w:r w:rsidR="002F4FB2">
        <w:rPr>
          <w:rFonts w:hint="eastAsia"/>
          <w:bCs/>
          <w:sz w:val="20"/>
          <w:szCs w:val="20"/>
        </w:rPr>
        <w:t xml:space="preserve">t think </w:t>
      </w:r>
      <w:r w:rsidR="00F91ECB">
        <w:rPr>
          <w:bCs/>
          <w:sz w:val="20"/>
          <w:szCs w:val="20"/>
        </w:rPr>
        <w:t xml:space="preserve">whether </w:t>
      </w:r>
      <w:r w:rsidR="002F4FB2">
        <w:rPr>
          <w:rFonts w:hint="eastAsia"/>
          <w:bCs/>
          <w:sz w:val="20"/>
          <w:szCs w:val="20"/>
        </w:rPr>
        <w:t>NW would configure 48 (</w:t>
      </w:r>
      <w:proofErr w:type="spellStart"/>
      <w:r w:rsidR="002F4FB2">
        <w:rPr>
          <w:bCs/>
          <w:sz w:val="20"/>
          <w:szCs w:val="20"/>
        </w:rPr>
        <w:t>maxNrofLTM</w:t>
      </w:r>
      <w:proofErr w:type="spellEnd"/>
      <w:r w:rsidR="002F4FB2">
        <w:rPr>
          <w:bCs/>
          <w:sz w:val="20"/>
          <w:szCs w:val="20"/>
        </w:rPr>
        <w:t>-CSI-</w:t>
      </w:r>
      <w:proofErr w:type="spellStart"/>
      <w:r w:rsidR="002F4FB2">
        <w:rPr>
          <w:bCs/>
          <w:sz w:val="20"/>
          <w:szCs w:val="20"/>
        </w:rPr>
        <w:t>ReportConfigurations</w:t>
      </w:r>
      <w:proofErr w:type="spellEnd"/>
      <w:r w:rsidR="002F4FB2">
        <w:rPr>
          <w:rFonts w:hint="eastAsia"/>
          <w:bCs/>
          <w:sz w:val="20"/>
          <w:szCs w:val="20"/>
        </w:rPr>
        <w:t xml:space="preserve">) different events. </w:t>
      </w:r>
      <w:proofErr w:type="gramStart"/>
      <w:r w:rsidR="002F4FB2">
        <w:rPr>
          <w:rFonts w:hint="eastAsia"/>
          <w:bCs/>
          <w:sz w:val="20"/>
          <w:szCs w:val="20"/>
        </w:rPr>
        <w:t>So</w:t>
      </w:r>
      <w:proofErr w:type="gramEnd"/>
      <w:r w:rsidR="002F4FB2">
        <w:rPr>
          <w:rFonts w:hint="eastAsia"/>
          <w:bCs/>
          <w:sz w:val="20"/>
          <w:szCs w:val="20"/>
        </w:rPr>
        <w:t xml:space="preserve"> it is better to introduce a limit on the total number of L1 events that NW can configure. We propose the candidate values as {4, 8, 12, 16}.</w:t>
      </w:r>
    </w:p>
    <w:tbl>
      <w:tblPr>
        <w:tblStyle w:val="TableGrid"/>
        <w:tblW w:w="0" w:type="auto"/>
        <w:tblLook w:val="04A0" w:firstRow="1" w:lastRow="0" w:firstColumn="1" w:lastColumn="0" w:noHBand="0" w:noVBand="1"/>
      </w:tblPr>
      <w:tblGrid>
        <w:gridCol w:w="9629"/>
      </w:tblGrid>
      <w:tr w:rsidR="00BE57CA" w14:paraId="2A4CF74C" w14:textId="77777777" w:rsidTr="00BE57CA">
        <w:tc>
          <w:tcPr>
            <w:tcW w:w="9629" w:type="dxa"/>
          </w:tcPr>
          <w:p w14:paraId="6F1F7727" w14:textId="5EFA72F8" w:rsidR="00C50258" w:rsidRPr="00F27584" w:rsidRDefault="00C50258" w:rsidP="00EF27AF">
            <w:pPr>
              <w:rPr>
                <w:b/>
                <w:sz w:val="20"/>
                <w:szCs w:val="20"/>
              </w:rPr>
            </w:pPr>
            <w:r w:rsidRPr="00C50258">
              <w:rPr>
                <w:rFonts w:hint="eastAsia"/>
                <w:b/>
                <w:sz w:val="20"/>
                <w:szCs w:val="20"/>
              </w:rPr>
              <w:t>F</w:t>
            </w:r>
            <w:r w:rsidRPr="00C50258">
              <w:rPr>
                <w:b/>
                <w:sz w:val="20"/>
                <w:szCs w:val="20"/>
              </w:rPr>
              <w:t>or information:</w:t>
            </w:r>
          </w:p>
          <w:p w14:paraId="4C1C9DFD" w14:textId="245229CE" w:rsidR="00BE57CA" w:rsidRDefault="00207F07" w:rsidP="00EF27AF">
            <w:pPr>
              <w:rPr>
                <w:bCs/>
                <w:sz w:val="20"/>
                <w:szCs w:val="20"/>
              </w:rPr>
            </w:pPr>
            <w:r>
              <w:rPr>
                <w:bCs/>
                <w:noProof/>
                <w:sz w:val="20"/>
                <w:szCs w:val="20"/>
              </w:rPr>
              <w:drawing>
                <wp:inline distT="0" distB="0" distL="0" distR="0" wp14:anchorId="2377D01C" wp14:editId="5E47C0C8">
                  <wp:extent cx="6040707" cy="2951430"/>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69710" cy="2965601"/>
                          </a:xfrm>
                          <a:prstGeom prst="rect">
                            <a:avLst/>
                          </a:prstGeom>
                          <a:noFill/>
                        </pic:spPr>
                      </pic:pic>
                    </a:graphicData>
                  </a:graphic>
                </wp:inline>
              </w:drawing>
            </w:r>
          </w:p>
          <w:p w14:paraId="08A52DAE" w14:textId="6BBBF664" w:rsidR="00BE57CA" w:rsidRDefault="00BE57CA" w:rsidP="00EF27AF">
            <w:pPr>
              <w:rPr>
                <w:bCs/>
                <w:sz w:val="20"/>
                <w:szCs w:val="20"/>
              </w:rPr>
            </w:pPr>
          </w:p>
          <w:p w14:paraId="6B4E7A01" w14:textId="68593A7F" w:rsidR="00BE57CA" w:rsidRDefault="00C50258" w:rsidP="00EF27AF">
            <w:pPr>
              <w:rPr>
                <w:bCs/>
                <w:sz w:val="20"/>
                <w:szCs w:val="20"/>
              </w:rPr>
            </w:pPr>
            <w:r w:rsidRPr="00C50258">
              <w:rPr>
                <w:bCs/>
                <w:noProof/>
                <w:sz w:val="20"/>
                <w:szCs w:val="20"/>
              </w:rPr>
              <w:lastRenderedPageBreak/>
              <w:drawing>
                <wp:inline distT="0" distB="0" distL="0" distR="0" wp14:anchorId="63E564F8" wp14:editId="7D1CBCAF">
                  <wp:extent cx="5789221" cy="1027033"/>
                  <wp:effectExtent l="0" t="0" r="254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10375" cy="1030786"/>
                          </a:xfrm>
                          <a:prstGeom prst="rect">
                            <a:avLst/>
                          </a:prstGeom>
                        </pic:spPr>
                      </pic:pic>
                    </a:graphicData>
                  </a:graphic>
                </wp:inline>
              </w:drawing>
            </w:r>
          </w:p>
          <w:p w14:paraId="7DA760DC" w14:textId="77777777" w:rsidR="00E97E95" w:rsidRDefault="00E97E95" w:rsidP="00E97E95">
            <w:pPr>
              <w:rPr>
                <w:bCs/>
                <w:sz w:val="20"/>
                <w:szCs w:val="20"/>
              </w:rPr>
            </w:pPr>
            <w:r>
              <w:rPr>
                <w:sz w:val="16"/>
                <w:szCs w:val="16"/>
              </w:rPr>
              <w:t xml:space="preserve">maxNrofLTM-CSI-ReportConfigurations-r18 </w:t>
            </w:r>
            <w:proofErr w:type="gramStart"/>
            <w:r>
              <w:rPr>
                <w:color w:val="993265"/>
                <w:sz w:val="16"/>
                <w:szCs w:val="16"/>
              </w:rPr>
              <w:t xml:space="preserve">INTEGER </w:t>
            </w:r>
            <w:r>
              <w:rPr>
                <w:sz w:val="16"/>
                <w:szCs w:val="16"/>
              </w:rPr>
              <w:t>::=</w:t>
            </w:r>
            <w:proofErr w:type="gramEnd"/>
            <w:r>
              <w:rPr>
                <w:sz w:val="16"/>
                <w:szCs w:val="16"/>
              </w:rPr>
              <w:t xml:space="preserve"> 48 </w:t>
            </w:r>
            <w:r>
              <w:rPr>
                <w:color w:val="808080"/>
                <w:sz w:val="16"/>
                <w:szCs w:val="16"/>
              </w:rPr>
              <w:t>-- Maximum number of LTM CSI reporting configurations</w:t>
            </w:r>
          </w:p>
          <w:p w14:paraId="28C86164" w14:textId="78078725" w:rsidR="00C50258" w:rsidRPr="002F4FB2" w:rsidRDefault="00E97E95" w:rsidP="00EF27AF">
            <w:pPr>
              <w:rPr>
                <w:color w:val="808080"/>
                <w:sz w:val="16"/>
                <w:szCs w:val="16"/>
              </w:rPr>
            </w:pPr>
            <w:r>
              <w:rPr>
                <w:sz w:val="16"/>
                <w:szCs w:val="16"/>
              </w:rPr>
              <w:t xml:space="preserve">maxNrofLTM-CSI-SSB-ResourcesPerSet-r18 </w:t>
            </w:r>
            <w:proofErr w:type="gramStart"/>
            <w:r>
              <w:rPr>
                <w:color w:val="993265"/>
                <w:sz w:val="16"/>
                <w:szCs w:val="16"/>
              </w:rPr>
              <w:t xml:space="preserve">INTEGER </w:t>
            </w:r>
            <w:r>
              <w:rPr>
                <w:sz w:val="16"/>
                <w:szCs w:val="16"/>
              </w:rPr>
              <w:t>::=</w:t>
            </w:r>
            <w:proofErr w:type="gramEnd"/>
            <w:r>
              <w:rPr>
                <w:sz w:val="16"/>
                <w:szCs w:val="16"/>
              </w:rPr>
              <w:t xml:space="preserve"> 512 </w:t>
            </w:r>
            <w:r>
              <w:rPr>
                <w:color w:val="808080"/>
                <w:sz w:val="16"/>
                <w:szCs w:val="16"/>
              </w:rPr>
              <w:t>-- Maximum number of LTM CSI SSB resource per set</w:t>
            </w:r>
          </w:p>
        </w:tc>
      </w:tr>
    </w:tbl>
    <w:p w14:paraId="0FD97D65" w14:textId="77777777" w:rsidR="00BE57CA" w:rsidRDefault="00BE57CA" w:rsidP="00EF27AF">
      <w:pPr>
        <w:rPr>
          <w:bCs/>
          <w:sz w:val="20"/>
          <w:szCs w:val="20"/>
        </w:rPr>
      </w:pPr>
    </w:p>
    <w:p w14:paraId="62AC5E03" w14:textId="6BE45C8D" w:rsidR="00396F05" w:rsidRPr="002F4FB2" w:rsidRDefault="002F4FB2" w:rsidP="002F4FB2">
      <w:pPr>
        <w:spacing w:beforeLines="50" w:before="120" w:afterLines="50" w:after="120"/>
        <w:rPr>
          <w:rFonts w:cstheme="minorHAnsi"/>
          <w:b/>
          <w:sz w:val="20"/>
          <w:szCs w:val="20"/>
        </w:rPr>
      </w:pPr>
      <w:bookmarkStart w:id="2" w:name="_Hlk178155788"/>
      <w:r w:rsidRPr="006B319F">
        <w:rPr>
          <w:rFonts w:cstheme="minorHAnsi"/>
          <w:b/>
          <w:sz w:val="20"/>
          <w:szCs w:val="20"/>
        </w:rPr>
        <w:t xml:space="preserve">Proposal 1: </w:t>
      </w:r>
      <w:r>
        <w:rPr>
          <w:rFonts w:cstheme="minorHAnsi"/>
          <w:b/>
          <w:sz w:val="20"/>
          <w:szCs w:val="20"/>
        </w:rPr>
        <w:t>Introduce</w:t>
      </w:r>
      <w:r w:rsidRPr="006B319F">
        <w:rPr>
          <w:rFonts w:cstheme="minorHAnsi"/>
          <w:b/>
          <w:sz w:val="20"/>
          <w:szCs w:val="20"/>
        </w:rPr>
        <w:t xml:space="preserve"> </w:t>
      </w:r>
      <w:r>
        <w:rPr>
          <w:rFonts w:cstheme="minorHAnsi"/>
          <w:b/>
          <w:sz w:val="20"/>
          <w:szCs w:val="20"/>
        </w:rPr>
        <w:t>reported UE</w:t>
      </w:r>
      <w:r w:rsidRPr="006B319F">
        <w:rPr>
          <w:rFonts w:cstheme="minorHAnsi"/>
          <w:b/>
          <w:sz w:val="20"/>
          <w:szCs w:val="20"/>
        </w:rPr>
        <w:t xml:space="preserve"> capabilit</w:t>
      </w:r>
      <w:r>
        <w:rPr>
          <w:rFonts w:cstheme="minorHAnsi" w:hint="eastAsia"/>
          <w:b/>
          <w:sz w:val="20"/>
          <w:szCs w:val="20"/>
        </w:rPr>
        <w:t>ies</w:t>
      </w:r>
      <w:r w:rsidRPr="006B319F">
        <w:rPr>
          <w:rFonts w:cstheme="minorHAnsi"/>
          <w:b/>
          <w:sz w:val="20"/>
          <w:szCs w:val="20"/>
        </w:rPr>
        <w:t xml:space="preserve"> for supported number of events triggered L1 measurement reporting.</w:t>
      </w:r>
      <w:r>
        <w:rPr>
          <w:rFonts w:cstheme="minorHAnsi"/>
          <w:b/>
          <w:sz w:val="20"/>
          <w:szCs w:val="20"/>
        </w:rPr>
        <w:t xml:space="preserve"> </w:t>
      </w:r>
      <w:r>
        <w:rPr>
          <w:rFonts w:cstheme="minorHAnsi" w:hint="eastAsia"/>
          <w:b/>
          <w:sz w:val="20"/>
          <w:szCs w:val="20"/>
        </w:rPr>
        <w:t xml:space="preserve">The candidate values are </w:t>
      </w:r>
      <w:r w:rsidRPr="002F4FB2">
        <w:rPr>
          <w:rFonts w:cstheme="minorHAnsi"/>
          <w:b/>
          <w:sz w:val="20"/>
          <w:szCs w:val="20"/>
        </w:rPr>
        <w:t>{4, 8, 12, 16}.</w:t>
      </w:r>
      <w:bookmarkEnd w:id="2"/>
    </w:p>
    <w:p w14:paraId="35516135" w14:textId="4FC067E3" w:rsidR="00E3566F" w:rsidRPr="00C903F5" w:rsidRDefault="00E3566F" w:rsidP="00E3566F">
      <w:pPr>
        <w:pStyle w:val="Heading2"/>
        <w:rPr>
          <w:rFonts w:asciiTheme="minorHAnsi" w:hAnsiTheme="minorHAnsi" w:cstheme="minorHAnsi"/>
          <w:sz w:val="28"/>
          <w:szCs w:val="18"/>
        </w:rPr>
      </w:pPr>
      <w:bookmarkStart w:id="3" w:name="_Hlk173932584"/>
      <w:bookmarkStart w:id="4" w:name="_Hlk178156363"/>
      <w:r>
        <w:rPr>
          <w:rFonts w:asciiTheme="minorHAnsi" w:hAnsiTheme="minorHAnsi" w:cstheme="minorHAnsi"/>
          <w:sz w:val="28"/>
          <w:szCs w:val="18"/>
        </w:rPr>
        <w:t>2.</w:t>
      </w:r>
      <w:r w:rsidR="00BC7267">
        <w:rPr>
          <w:rFonts w:asciiTheme="minorHAnsi" w:hAnsiTheme="minorHAnsi" w:cstheme="minorHAnsi"/>
          <w:sz w:val="28"/>
          <w:szCs w:val="18"/>
        </w:rPr>
        <w:t>2</w:t>
      </w:r>
      <w:r>
        <w:rPr>
          <w:rFonts w:asciiTheme="minorHAnsi" w:hAnsiTheme="minorHAnsi" w:cstheme="minorHAnsi"/>
          <w:sz w:val="28"/>
          <w:szCs w:val="18"/>
        </w:rPr>
        <w:t xml:space="preserve"> </w:t>
      </w:r>
      <w:r w:rsidR="00A53E96" w:rsidRPr="00A53E96">
        <w:rPr>
          <w:rFonts w:asciiTheme="minorHAnsi" w:hAnsiTheme="minorHAnsi" w:cstheme="minorHAnsi"/>
          <w:sz w:val="28"/>
          <w:szCs w:val="18"/>
        </w:rPr>
        <w:t>Impact on other LTM requirements</w:t>
      </w:r>
    </w:p>
    <w:tbl>
      <w:tblPr>
        <w:tblStyle w:val="TableGrid"/>
        <w:tblW w:w="0" w:type="auto"/>
        <w:tblLook w:val="04A0" w:firstRow="1" w:lastRow="0" w:firstColumn="1" w:lastColumn="0" w:noHBand="0" w:noVBand="1"/>
      </w:tblPr>
      <w:tblGrid>
        <w:gridCol w:w="9629"/>
      </w:tblGrid>
      <w:tr w:rsidR="00E3566F" w14:paraId="04C5110C" w14:textId="77777777" w:rsidTr="00E3566F">
        <w:tc>
          <w:tcPr>
            <w:tcW w:w="9629" w:type="dxa"/>
          </w:tcPr>
          <w:p w14:paraId="69A97772" w14:textId="77777777" w:rsidR="00480CF5" w:rsidRPr="00480CF5" w:rsidRDefault="00480CF5" w:rsidP="00480CF5">
            <w:pPr>
              <w:spacing w:after="120"/>
              <w:rPr>
                <w:rFonts w:ascii="Times New Roman" w:eastAsia="Times New Roman" w:hAnsi="Times New Roman" w:cs="Times New Roman"/>
                <w:b/>
                <w:bCs/>
                <w:color w:val="000000" w:themeColor="text1"/>
                <w:kern w:val="0"/>
                <w:sz w:val="20"/>
                <w:szCs w:val="20"/>
              </w:rPr>
            </w:pPr>
            <w:r w:rsidRPr="00480CF5">
              <w:rPr>
                <w:b/>
                <w:bCs/>
                <w:color w:val="000000" w:themeColor="text1"/>
                <w:sz w:val="18"/>
                <w:szCs w:val="18"/>
              </w:rPr>
              <w:t>Agreement:</w:t>
            </w:r>
          </w:p>
          <w:p w14:paraId="25582FF3" w14:textId="77777777" w:rsidR="00480CF5" w:rsidRPr="00480CF5" w:rsidRDefault="00480CF5" w:rsidP="00480CF5">
            <w:pPr>
              <w:numPr>
                <w:ilvl w:val="0"/>
                <w:numId w:val="14"/>
              </w:numPr>
              <w:spacing w:after="120"/>
              <w:rPr>
                <w:bCs/>
                <w:color w:val="000000" w:themeColor="text1"/>
                <w:sz w:val="18"/>
                <w:szCs w:val="18"/>
              </w:rPr>
            </w:pPr>
            <w:r w:rsidRPr="00480CF5">
              <w:rPr>
                <w:bCs/>
                <w:color w:val="000000" w:themeColor="text1"/>
                <w:sz w:val="18"/>
                <w:szCs w:val="18"/>
              </w:rPr>
              <w:t xml:space="preserve">For FR1: </w:t>
            </w:r>
          </w:p>
          <w:p w14:paraId="43344775" w14:textId="77777777" w:rsidR="00480CF5" w:rsidRPr="00480CF5" w:rsidRDefault="00480CF5" w:rsidP="00480CF5">
            <w:pPr>
              <w:numPr>
                <w:ilvl w:val="1"/>
                <w:numId w:val="14"/>
              </w:numPr>
              <w:spacing w:after="120"/>
              <w:rPr>
                <w:bCs/>
                <w:color w:val="000000" w:themeColor="text1"/>
                <w:sz w:val="18"/>
                <w:szCs w:val="18"/>
              </w:rPr>
            </w:pPr>
            <w:r w:rsidRPr="00480CF5">
              <w:rPr>
                <w:bCs/>
                <w:color w:val="000000" w:themeColor="text1"/>
                <w:sz w:val="18"/>
                <w:szCs w:val="18"/>
              </w:rPr>
              <w:t xml:space="preserve">UE has sent an </w:t>
            </w:r>
            <w:proofErr w:type="gramStart"/>
            <w:r w:rsidRPr="00480CF5">
              <w:rPr>
                <w:bCs/>
                <w:color w:val="000000" w:themeColor="text1"/>
                <w:sz w:val="18"/>
                <w:szCs w:val="18"/>
              </w:rPr>
              <w:t>event-triggered</w:t>
            </w:r>
            <w:proofErr w:type="gramEnd"/>
            <w:r w:rsidRPr="00480CF5">
              <w:rPr>
                <w:bCs/>
                <w:color w:val="000000" w:themeColor="text1"/>
                <w:sz w:val="18"/>
                <w:szCs w:val="18"/>
              </w:rPr>
              <w:t xml:space="preserve"> L1 report and the reporting condition continues to be met at the time of receiving the cell switch command or TCI state activation command, </w:t>
            </w:r>
          </w:p>
          <w:p w14:paraId="47A62699" w14:textId="77777777" w:rsidR="00480CF5" w:rsidRPr="00480CF5" w:rsidRDefault="00480CF5" w:rsidP="00480CF5">
            <w:pPr>
              <w:numPr>
                <w:ilvl w:val="2"/>
                <w:numId w:val="14"/>
              </w:numPr>
              <w:spacing w:after="120"/>
              <w:rPr>
                <w:bCs/>
                <w:color w:val="000000" w:themeColor="text1"/>
                <w:sz w:val="18"/>
                <w:szCs w:val="18"/>
              </w:rPr>
            </w:pPr>
            <w:r w:rsidRPr="00480CF5">
              <w:rPr>
                <w:bCs/>
                <w:color w:val="000000" w:themeColor="text1"/>
                <w:sz w:val="18"/>
                <w:szCs w:val="18"/>
              </w:rPr>
              <w:t>Case 1: leaving condition of the event is configured and corresponding condition is not met,</w:t>
            </w:r>
          </w:p>
          <w:p w14:paraId="4C23A648" w14:textId="77777777" w:rsidR="00480CF5" w:rsidRPr="00480CF5" w:rsidRDefault="00480CF5" w:rsidP="00480CF5">
            <w:pPr>
              <w:numPr>
                <w:ilvl w:val="3"/>
                <w:numId w:val="14"/>
              </w:numPr>
              <w:spacing w:after="120"/>
              <w:rPr>
                <w:bCs/>
                <w:color w:val="000000" w:themeColor="text1"/>
                <w:sz w:val="18"/>
                <w:szCs w:val="18"/>
              </w:rPr>
            </w:pPr>
            <w:r w:rsidRPr="00480CF5">
              <w:rPr>
                <w:bCs/>
                <w:color w:val="000000" w:themeColor="text1"/>
                <w:sz w:val="18"/>
                <w:szCs w:val="18"/>
              </w:rPr>
              <w:t xml:space="preserve">the related cell switch delay and TCI state activation requirements are </w:t>
            </w:r>
            <w:proofErr w:type="gramStart"/>
            <w:r w:rsidRPr="00480CF5">
              <w:rPr>
                <w:bCs/>
                <w:color w:val="000000" w:themeColor="text1"/>
                <w:sz w:val="18"/>
                <w:szCs w:val="18"/>
              </w:rPr>
              <w:t>applicable</w:t>
            </w:r>
            <w:proofErr w:type="gramEnd"/>
          </w:p>
          <w:p w14:paraId="0EAEE4D0" w14:textId="77777777" w:rsidR="00480CF5" w:rsidRPr="00480CF5" w:rsidRDefault="00480CF5" w:rsidP="00480CF5">
            <w:pPr>
              <w:numPr>
                <w:ilvl w:val="2"/>
                <w:numId w:val="14"/>
              </w:numPr>
              <w:spacing w:after="120"/>
              <w:rPr>
                <w:bCs/>
                <w:color w:val="000000" w:themeColor="text1"/>
                <w:sz w:val="18"/>
                <w:szCs w:val="18"/>
              </w:rPr>
            </w:pPr>
            <w:r w:rsidRPr="00480CF5">
              <w:rPr>
                <w:bCs/>
                <w:color w:val="000000" w:themeColor="text1"/>
                <w:sz w:val="18"/>
                <w:szCs w:val="18"/>
              </w:rPr>
              <w:t xml:space="preserve">Case 2: leaving condition of the event is NOT configured, </w:t>
            </w:r>
            <w:proofErr w:type="gramStart"/>
            <w:r w:rsidRPr="00480CF5">
              <w:rPr>
                <w:bCs/>
                <w:color w:val="000000" w:themeColor="text1"/>
                <w:sz w:val="18"/>
                <w:szCs w:val="18"/>
              </w:rPr>
              <w:t>FFS</w:t>
            </w:r>
            <w:proofErr w:type="gramEnd"/>
          </w:p>
          <w:p w14:paraId="0E9BA992" w14:textId="5DEE31C1" w:rsidR="00E3566F" w:rsidRPr="00480CF5" w:rsidRDefault="00480CF5" w:rsidP="00480CF5">
            <w:pPr>
              <w:numPr>
                <w:ilvl w:val="0"/>
                <w:numId w:val="14"/>
              </w:numPr>
              <w:spacing w:after="120"/>
              <w:rPr>
                <w:bCs/>
                <w:color w:val="000000" w:themeColor="text1"/>
              </w:rPr>
            </w:pPr>
            <w:r w:rsidRPr="00480CF5">
              <w:rPr>
                <w:bCs/>
                <w:color w:val="000000" w:themeColor="text1"/>
                <w:sz w:val="18"/>
                <w:szCs w:val="18"/>
              </w:rPr>
              <w:t>For FR2: FFS</w:t>
            </w:r>
          </w:p>
        </w:tc>
      </w:tr>
    </w:tbl>
    <w:p w14:paraId="55C4794E" w14:textId="77777777" w:rsidR="00E3566F" w:rsidRDefault="00E3566F" w:rsidP="00E3566F">
      <w:pPr>
        <w:overflowPunct w:val="0"/>
        <w:autoSpaceDE w:val="0"/>
        <w:autoSpaceDN w:val="0"/>
        <w:adjustRightInd w:val="0"/>
        <w:snapToGrid w:val="0"/>
        <w:spacing w:after="120"/>
        <w:rPr>
          <w:sz w:val="18"/>
          <w:szCs w:val="18"/>
          <w:lang w:val="en-GB"/>
        </w:rPr>
      </w:pPr>
    </w:p>
    <w:p w14:paraId="3645501D" w14:textId="2D319DDD" w:rsidR="00480CF5" w:rsidRPr="00737D36" w:rsidRDefault="00480CF5" w:rsidP="00E3566F">
      <w:pPr>
        <w:overflowPunct w:val="0"/>
        <w:autoSpaceDE w:val="0"/>
        <w:autoSpaceDN w:val="0"/>
        <w:adjustRightInd w:val="0"/>
        <w:snapToGrid w:val="0"/>
        <w:spacing w:after="120"/>
        <w:rPr>
          <w:sz w:val="20"/>
          <w:szCs w:val="20"/>
          <w:lang w:val="en-GB"/>
        </w:rPr>
      </w:pPr>
      <w:r w:rsidRPr="00737D36">
        <w:rPr>
          <w:rFonts w:hint="eastAsia"/>
          <w:sz w:val="20"/>
          <w:szCs w:val="20"/>
          <w:lang w:val="en-GB"/>
        </w:rPr>
        <w:t>In</w:t>
      </w:r>
      <w:r w:rsidRPr="00737D36">
        <w:rPr>
          <w:sz w:val="20"/>
          <w:szCs w:val="20"/>
          <w:lang w:val="en-GB"/>
        </w:rPr>
        <w:t xml:space="preserve"> </w:t>
      </w:r>
      <w:r w:rsidRPr="00737D36">
        <w:rPr>
          <w:rFonts w:hint="eastAsia"/>
          <w:sz w:val="20"/>
          <w:szCs w:val="20"/>
          <w:lang w:val="en-GB"/>
        </w:rPr>
        <w:t>the</w:t>
      </w:r>
      <w:r w:rsidRPr="00737D36">
        <w:rPr>
          <w:sz w:val="20"/>
          <w:szCs w:val="20"/>
          <w:lang w:val="en-GB"/>
        </w:rPr>
        <w:t xml:space="preserve"> past two</w:t>
      </w:r>
      <w:r w:rsidR="00E3566F" w:rsidRPr="00737D36">
        <w:rPr>
          <w:sz w:val="20"/>
          <w:szCs w:val="20"/>
          <w:lang w:val="en-GB"/>
        </w:rPr>
        <w:t xml:space="preserve"> meeting</w:t>
      </w:r>
      <w:r w:rsidRPr="00737D36">
        <w:rPr>
          <w:sz w:val="20"/>
          <w:szCs w:val="20"/>
          <w:lang w:val="en-GB"/>
        </w:rPr>
        <w:t>s</w:t>
      </w:r>
      <w:r w:rsidR="00E3566F" w:rsidRPr="00737D36">
        <w:rPr>
          <w:sz w:val="20"/>
          <w:szCs w:val="20"/>
          <w:lang w:val="en-GB"/>
        </w:rPr>
        <w:t xml:space="preserve">, </w:t>
      </w:r>
      <w:r w:rsidRPr="00737D36">
        <w:rPr>
          <w:sz w:val="20"/>
          <w:szCs w:val="20"/>
          <w:lang w:val="en-GB"/>
        </w:rPr>
        <w:t>RAN4</w:t>
      </w:r>
      <w:r w:rsidR="00E3566F" w:rsidRPr="00737D36">
        <w:rPr>
          <w:sz w:val="20"/>
          <w:szCs w:val="20"/>
          <w:lang w:val="en-GB"/>
        </w:rPr>
        <w:t xml:space="preserve"> discussed the impact of </w:t>
      </w:r>
      <w:proofErr w:type="gramStart"/>
      <w:r w:rsidR="00E3566F" w:rsidRPr="00737D36">
        <w:rPr>
          <w:sz w:val="20"/>
          <w:szCs w:val="20"/>
          <w:lang w:val="en-GB"/>
        </w:rPr>
        <w:t>event-triggered</w:t>
      </w:r>
      <w:proofErr w:type="gramEnd"/>
      <w:r w:rsidR="00E3566F" w:rsidRPr="00737D36">
        <w:rPr>
          <w:sz w:val="20"/>
          <w:szCs w:val="20"/>
          <w:lang w:val="en-GB"/>
        </w:rPr>
        <w:t xml:space="preserve"> L1 report on other LTM requirements and reached the above </w:t>
      </w:r>
      <w:r w:rsidRPr="00737D36">
        <w:rPr>
          <w:sz w:val="20"/>
          <w:szCs w:val="20"/>
          <w:lang w:val="en-GB"/>
        </w:rPr>
        <w:t>agreement</w:t>
      </w:r>
      <w:r w:rsidR="00E3566F" w:rsidRPr="00737D36">
        <w:rPr>
          <w:sz w:val="20"/>
          <w:szCs w:val="20"/>
          <w:lang w:val="en-GB"/>
        </w:rPr>
        <w:t>.</w:t>
      </w:r>
    </w:p>
    <w:p w14:paraId="0C7225CF" w14:textId="39EB9A75" w:rsidR="00480CF5" w:rsidRPr="00737D36" w:rsidRDefault="00480CF5" w:rsidP="00E3566F">
      <w:pPr>
        <w:overflowPunct w:val="0"/>
        <w:autoSpaceDE w:val="0"/>
        <w:autoSpaceDN w:val="0"/>
        <w:adjustRightInd w:val="0"/>
        <w:snapToGrid w:val="0"/>
        <w:spacing w:after="120"/>
        <w:rPr>
          <w:sz w:val="20"/>
          <w:szCs w:val="20"/>
          <w:lang w:val="en-GB"/>
        </w:rPr>
      </w:pPr>
      <w:r w:rsidRPr="00737D36">
        <w:rPr>
          <w:sz w:val="20"/>
          <w:szCs w:val="20"/>
          <w:lang w:val="en-GB"/>
        </w:rPr>
        <w:t xml:space="preserve">From UE’s point of view, as long as the channel condition is not bad and UE can keep measuring the cell or beam, the cell and TCI state can be known to UE. For NW controlled LTM, it is also important to </w:t>
      </w:r>
      <w:r w:rsidR="00EE57AC" w:rsidRPr="00737D36">
        <w:rPr>
          <w:sz w:val="20"/>
          <w:szCs w:val="20"/>
          <w:lang w:val="en-GB"/>
        </w:rPr>
        <w:t xml:space="preserve">let NW know whether the cell/TCI state is known. The way to let NW know is through reporting or not reporting (leaving condition is configured and </w:t>
      </w:r>
      <w:r w:rsidR="00EE57AC" w:rsidRPr="00737D36">
        <w:rPr>
          <w:bCs/>
          <w:color w:val="000000" w:themeColor="text1"/>
          <w:sz w:val="20"/>
          <w:szCs w:val="20"/>
        </w:rPr>
        <w:t>corresponding condition is not met</w:t>
      </w:r>
      <w:r w:rsidR="00EE57AC" w:rsidRPr="00737D36">
        <w:rPr>
          <w:sz w:val="20"/>
          <w:szCs w:val="20"/>
          <w:lang w:val="en-GB"/>
        </w:rPr>
        <w:t xml:space="preserve">). For Case 2, we don’t know how to let NW know whether the cell/TCI state is known or not. So, we prefer not to do further optimization for the case that </w:t>
      </w:r>
      <w:r w:rsidR="00EE57AC" w:rsidRPr="00737D36">
        <w:rPr>
          <w:bCs/>
          <w:color w:val="000000" w:themeColor="text1"/>
          <w:sz w:val="20"/>
          <w:szCs w:val="20"/>
        </w:rPr>
        <w:t>leaving condition of the event is NOT configured.</w:t>
      </w:r>
    </w:p>
    <w:p w14:paraId="5A0F2DE4" w14:textId="1E913B05" w:rsidR="00E3566F" w:rsidRPr="00295F5C" w:rsidRDefault="00CF7D11" w:rsidP="00E3566F">
      <w:pPr>
        <w:overflowPunct w:val="0"/>
        <w:autoSpaceDE w:val="0"/>
        <w:autoSpaceDN w:val="0"/>
        <w:adjustRightInd w:val="0"/>
        <w:snapToGrid w:val="0"/>
        <w:spacing w:after="120"/>
        <w:rPr>
          <w:sz w:val="20"/>
          <w:szCs w:val="20"/>
          <w:lang w:val="en-GB"/>
        </w:rPr>
      </w:pPr>
      <w:r w:rsidRPr="00295F5C">
        <w:rPr>
          <w:sz w:val="20"/>
          <w:szCs w:val="20"/>
          <w:lang w:val="en-GB"/>
        </w:rPr>
        <w:t xml:space="preserve">In FR2, when NW activates some TCI state(s), UE will prioritize L1-RSRP measurement on those TCI state(s) and may never measure the beam which is not activated. </w:t>
      </w:r>
      <w:proofErr w:type="gramStart"/>
      <w:r w:rsidRPr="00295F5C">
        <w:rPr>
          <w:sz w:val="20"/>
          <w:szCs w:val="20"/>
          <w:lang w:val="en-GB"/>
        </w:rPr>
        <w:t>So</w:t>
      </w:r>
      <w:proofErr w:type="gramEnd"/>
      <w:r w:rsidRPr="00295F5C">
        <w:rPr>
          <w:sz w:val="20"/>
          <w:szCs w:val="20"/>
          <w:lang w:val="en-GB"/>
        </w:rPr>
        <w:t xml:space="preserve"> UE may stop measuring the beam </w:t>
      </w:r>
      <w:r w:rsidR="00FD54BF" w:rsidRPr="00295F5C">
        <w:rPr>
          <w:sz w:val="20"/>
          <w:szCs w:val="20"/>
          <w:lang w:val="en-GB"/>
        </w:rPr>
        <w:t xml:space="preserve">if NW activates some other TCI state(s) after event-triggered L1 report. In this case, the above optimization seems not workable. </w:t>
      </w:r>
    </w:p>
    <w:p w14:paraId="521938DC" w14:textId="718E39C2" w:rsidR="00FD54BF" w:rsidRPr="00295F5C" w:rsidRDefault="00295F5C" w:rsidP="00295F5C">
      <w:pPr>
        <w:spacing w:after="120"/>
        <w:rPr>
          <w:b/>
          <w:color w:val="000000" w:themeColor="text1"/>
          <w:sz w:val="20"/>
          <w:szCs w:val="20"/>
        </w:rPr>
      </w:pPr>
      <w:r w:rsidRPr="00295F5C">
        <w:rPr>
          <w:rFonts w:cstheme="minorHAnsi"/>
          <w:b/>
          <w:sz w:val="20"/>
          <w:szCs w:val="20"/>
        </w:rPr>
        <w:t xml:space="preserve">Proposal </w:t>
      </w:r>
      <w:r w:rsidR="00BC7267">
        <w:rPr>
          <w:rFonts w:cstheme="minorHAnsi"/>
          <w:b/>
          <w:sz w:val="20"/>
          <w:szCs w:val="20"/>
        </w:rPr>
        <w:t>2</w:t>
      </w:r>
      <w:r w:rsidRPr="00295F5C">
        <w:rPr>
          <w:rFonts w:cstheme="minorHAnsi"/>
          <w:b/>
          <w:sz w:val="20"/>
          <w:szCs w:val="20"/>
        </w:rPr>
        <w:t xml:space="preserve">: </w:t>
      </w:r>
      <w:r w:rsidRPr="00295F5C">
        <w:rPr>
          <w:b/>
          <w:color w:val="000000" w:themeColor="text1"/>
          <w:sz w:val="20"/>
          <w:szCs w:val="20"/>
        </w:rPr>
        <w:t>For FR1, if UE has sent an event-triggered L1 report and the reporting condition continues to be met at the time of receiving the cell switch command or TCI state activation command, leaving condition of the event is configured and corresponding condition is not met,</w:t>
      </w:r>
      <w:r w:rsidRPr="00295F5C">
        <w:rPr>
          <w:rFonts w:hint="eastAsia"/>
          <w:b/>
          <w:color w:val="000000" w:themeColor="text1"/>
          <w:sz w:val="20"/>
          <w:szCs w:val="20"/>
        </w:rPr>
        <w:t xml:space="preserve"> </w:t>
      </w:r>
      <w:r w:rsidRPr="00295F5C">
        <w:rPr>
          <w:b/>
          <w:color w:val="000000" w:themeColor="text1"/>
          <w:sz w:val="20"/>
          <w:szCs w:val="20"/>
        </w:rPr>
        <w:t>the related cell switch delay and TCI state activation requirements are applicable. Not to extend the optimization to other cases.</w:t>
      </w:r>
    </w:p>
    <w:bookmarkEnd w:id="1"/>
    <w:bookmarkEnd w:id="3"/>
    <w:bookmarkEnd w:id="4"/>
    <w:p w14:paraId="4DE6E1A9" w14:textId="4A5CF66B"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270F082F" w:rsidR="00867028" w:rsidRPr="00153468" w:rsidRDefault="006F7557" w:rsidP="004C0364">
      <w:pPr>
        <w:adjustRightInd w:val="0"/>
        <w:snapToGrid w:val="0"/>
        <w:spacing w:before="180" w:after="120"/>
        <w:rPr>
          <w:sz w:val="20"/>
          <w:szCs w:val="20"/>
        </w:rPr>
      </w:pPr>
      <w:r w:rsidRPr="00153468">
        <w:rPr>
          <w:rFonts w:hint="eastAsia"/>
          <w:sz w:val="20"/>
          <w:szCs w:val="20"/>
        </w:rPr>
        <w:t xml:space="preserve">In this </w:t>
      </w:r>
      <w:r w:rsidRPr="00153468">
        <w:rPr>
          <w:sz w:val="20"/>
          <w:szCs w:val="20"/>
        </w:rPr>
        <w:t>paper,</w:t>
      </w:r>
      <w:r w:rsidR="00FB24ED" w:rsidRPr="00153468">
        <w:rPr>
          <w:rFonts w:hint="eastAsia"/>
          <w:sz w:val="20"/>
          <w:szCs w:val="20"/>
        </w:rPr>
        <w:t xml:space="preserve"> </w:t>
      </w:r>
      <w:r w:rsidR="003E65AD" w:rsidRPr="00153468">
        <w:rPr>
          <w:sz w:val="20"/>
          <w:szCs w:val="20"/>
        </w:rPr>
        <w:t>we provide some views on</w:t>
      </w:r>
      <w:r w:rsidR="00801F9F" w:rsidRPr="00153468">
        <w:rPr>
          <w:sz w:val="20"/>
          <w:szCs w:val="20"/>
        </w:rPr>
        <w:t xml:space="preserve"> </w:t>
      </w:r>
      <w:r w:rsidR="008243B8" w:rsidRPr="00153468">
        <w:rPr>
          <w:sz w:val="20"/>
          <w:szCs w:val="20"/>
        </w:rPr>
        <w:t xml:space="preserve">event triggered L1 report in </w:t>
      </w:r>
      <w:r w:rsidR="00801F9F" w:rsidRPr="00153468">
        <w:rPr>
          <w:sz w:val="20"/>
          <w:szCs w:val="20"/>
        </w:rPr>
        <w:t>R1</w:t>
      </w:r>
      <w:r w:rsidR="00CC41FC" w:rsidRPr="00153468">
        <w:rPr>
          <w:sz w:val="20"/>
          <w:szCs w:val="20"/>
        </w:rPr>
        <w:t xml:space="preserve">9 </w:t>
      </w:r>
      <w:r w:rsidR="003E65AD" w:rsidRPr="00153468">
        <w:rPr>
          <w:sz w:val="20"/>
          <w:szCs w:val="20"/>
        </w:rPr>
        <w:t>mobility</w:t>
      </w:r>
      <w:r w:rsidR="00CE0CB5" w:rsidRPr="00153468">
        <w:rPr>
          <w:sz w:val="20"/>
          <w:szCs w:val="20"/>
        </w:rPr>
        <w:t>.</w:t>
      </w:r>
      <w:r w:rsidR="00E710BA" w:rsidRPr="00153468">
        <w:rPr>
          <w:sz w:val="20"/>
          <w:szCs w:val="20"/>
        </w:rPr>
        <w:t xml:space="preserve"> </w:t>
      </w:r>
      <w:r w:rsidR="009758A1" w:rsidRPr="00153468">
        <w:rPr>
          <w:sz w:val="20"/>
          <w:szCs w:val="20"/>
        </w:rPr>
        <w:t>We have the following proposal</w:t>
      </w:r>
      <w:r w:rsidR="008D0760" w:rsidRPr="00153468">
        <w:rPr>
          <w:sz w:val="20"/>
          <w:szCs w:val="20"/>
        </w:rPr>
        <w:t>s</w:t>
      </w:r>
      <w:r w:rsidR="00E710BA" w:rsidRPr="00153468">
        <w:rPr>
          <w:sz w:val="20"/>
          <w:szCs w:val="20"/>
        </w:rPr>
        <w:t>:</w:t>
      </w:r>
    </w:p>
    <w:p w14:paraId="293E5E1A" w14:textId="77777777" w:rsidR="002F4FB2" w:rsidRDefault="002F4FB2" w:rsidP="002F4FB2">
      <w:pPr>
        <w:spacing w:beforeLines="50" w:before="120" w:afterLines="50" w:after="120"/>
        <w:rPr>
          <w:rFonts w:cstheme="minorHAnsi"/>
          <w:b/>
          <w:sz w:val="20"/>
          <w:szCs w:val="20"/>
        </w:rPr>
      </w:pPr>
      <w:r>
        <w:rPr>
          <w:rFonts w:cstheme="minorHAnsi"/>
          <w:b/>
          <w:sz w:val="20"/>
          <w:szCs w:val="20"/>
        </w:rPr>
        <w:t>Proposal 1: Introduce reported UE capabilities for supported number of events triggered L1 measurement reporting. The candidate values are {4, 8, 12, 16}.</w:t>
      </w:r>
    </w:p>
    <w:p w14:paraId="7C9D822A" w14:textId="655A2CB8" w:rsidR="00731E24" w:rsidRPr="00295F5C" w:rsidRDefault="00295F5C" w:rsidP="00295F5C">
      <w:pPr>
        <w:spacing w:after="120"/>
        <w:rPr>
          <w:b/>
          <w:color w:val="000000" w:themeColor="text1"/>
          <w:sz w:val="20"/>
          <w:szCs w:val="20"/>
        </w:rPr>
      </w:pPr>
      <w:r w:rsidRPr="00295F5C">
        <w:rPr>
          <w:rFonts w:cstheme="minorHAnsi"/>
          <w:b/>
          <w:sz w:val="20"/>
          <w:szCs w:val="20"/>
        </w:rPr>
        <w:t xml:space="preserve">Proposal </w:t>
      </w:r>
      <w:r w:rsidR="00BC7267">
        <w:rPr>
          <w:rFonts w:cstheme="minorHAnsi"/>
          <w:b/>
          <w:sz w:val="20"/>
          <w:szCs w:val="20"/>
        </w:rPr>
        <w:t>2</w:t>
      </w:r>
      <w:r w:rsidRPr="00295F5C">
        <w:rPr>
          <w:rFonts w:cstheme="minorHAnsi"/>
          <w:b/>
          <w:sz w:val="20"/>
          <w:szCs w:val="20"/>
        </w:rPr>
        <w:t xml:space="preserve">: </w:t>
      </w:r>
      <w:r w:rsidRPr="00295F5C">
        <w:rPr>
          <w:b/>
          <w:color w:val="000000" w:themeColor="text1"/>
          <w:sz w:val="20"/>
          <w:szCs w:val="20"/>
        </w:rPr>
        <w:t>For FR1, if UE has sent an event-triggered L1 report and the reporting condition continues to be met at the time of receiving the cell switch command or TCI state activation command, leaving condition of the event is configured and corresponding condition is not met,</w:t>
      </w:r>
      <w:r w:rsidRPr="00295F5C">
        <w:rPr>
          <w:rFonts w:hint="eastAsia"/>
          <w:b/>
          <w:color w:val="000000" w:themeColor="text1"/>
          <w:sz w:val="20"/>
          <w:szCs w:val="20"/>
        </w:rPr>
        <w:t xml:space="preserve"> </w:t>
      </w:r>
      <w:r w:rsidRPr="00295F5C">
        <w:rPr>
          <w:b/>
          <w:color w:val="000000" w:themeColor="text1"/>
          <w:sz w:val="20"/>
          <w:szCs w:val="20"/>
        </w:rPr>
        <w:t>the related cell switch delay and TCI state activation requirements are applicable. Not to extend the optimization to other cases.</w:t>
      </w:r>
    </w:p>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4CEA4442" w14:textId="27681058" w:rsidR="00876A2D" w:rsidRDefault="00240A9E" w:rsidP="00876A2D">
      <w:pPr>
        <w:pStyle w:val="references0"/>
        <w:rPr>
          <w:rFonts w:asciiTheme="minorHAnsi" w:eastAsiaTheme="minorEastAsia" w:hAnsiTheme="minorHAnsi" w:cstheme="minorBidi"/>
          <w:noProof w:val="0"/>
          <w:kern w:val="2"/>
          <w:szCs w:val="20"/>
          <w:lang w:eastAsia="zh-CN"/>
        </w:rPr>
      </w:pPr>
      <w:r w:rsidRPr="00240A9E">
        <w:rPr>
          <w:rFonts w:asciiTheme="minorHAnsi" w:eastAsiaTheme="minorEastAsia" w:hAnsiTheme="minorHAnsi" w:cstheme="minorBidi"/>
          <w:noProof w:val="0"/>
          <w:kern w:val="2"/>
          <w:szCs w:val="20"/>
          <w:lang w:eastAsia="zh-CN"/>
        </w:rPr>
        <w:t>RP-250339</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Revised Work Item: NR mobility enhancements Phase 4, Apple Inc, China Telecom</w:t>
      </w:r>
      <w:r w:rsidR="002D68FA">
        <w:rPr>
          <w:rFonts w:asciiTheme="minorHAnsi" w:eastAsiaTheme="minorEastAsia" w:hAnsiTheme="minorHAnsi" w:cstheme="minorBidi"/>
          <w:noProof w:val="0"/>
          <w:kern w:val="2"/>
          <w:szCs w:val="20"/>
          <w:lang w:eastAsia="zh-CN"/>
        </w:rPr>
        <w:t>.</w:t>
      </w:r>
    </w:p>
    <w:p w14:paraId="79EDD8A8" w14:textId="3C3D53DE" w:rsidR="002D68FA" w:rsidRPr="009324DF" w:rsidRDefault="00A70805" w:rsidP="00876A2D">
      <w:pPr>
        <w:pStyle w:val="references0"/>
        <w:rPr>
          <w:rFonts w:asciiTheme="minorHAnsi" w:eastAsiaTheme="minorEastAsia" w:hAnsiTheme="minorHAnsi" w:cstheme="minorBidi"/>
          <w:noProof w:val="0"/>
          <w:kern w:val="2"/>
          <w:szCs w:val="20"/>
          <w:lang w:eastAsia="zh-CN"/>
        </w:rPr>
      </w:pPr>
      <w:r w:rsidRPr="00A70805">
        <w:rPr>
          <w:rFonts w:asciiTheme="minorHAnsi" w:eastAsiaTheme="minorEastAsia" w:hAnsiTheme="minorHAnsi" w:cstheme="minorBidi"/>
          <w:noProof w:val="0"/>
          <w:kern w:val="2"/>
          <w:szCs w:val="20"/>
          <w:lang w:eastAsia="zh-CN"/>
        </w:rPr>
        <w:lastRenderedPageBreak/>
        <w:t>R4-250</w:t>
      </w:r>
      <w:r w:rsidR="00F85309">
        <w:rPr>
          <w:rFonts w:asciiTheme="minorHAnsi" w:eastAsiaTheme="minorEastAsia" w:hAnsiTheme="minorHAnsi" w:cstheme="minorBidi"/>
          <w:noProof w:val="0"/>
          <w:kern w:val="2"/>
          <w:szCs w:val="20"/>
          <w:lang w:eastAsia="zh-CN"/>
        </w:rPr>
        <w:t>8282</w:t>
      </w:r>
      <w:r w:rsidR="002D68FA">
        <w:rPr>
          <w:rFonts w:asciiTheme="minorHAnsi" w:eastAsiaTheme="minorEastAsia" w:hAnsiTheme="minorHAnsi" w:cstheme="minorBidi"/>
          <w:noProof w:val="0"/>
          <w:kern w:val="2"/>
          <w:szCs w:val="20"/>
          <w:lang w:eastAsia="zh-CN"/>
        </w:rPr>
        <w:t xml:space="preserve">, </w:t>
      </w:r>
      <w:r w:rsidR="002D68FA" w:rsidRPr="002D68FA">
        <w:rPr>
          <w:rFonts w:asciiTheme="minorHAnsi" w:eastAsiaTheme="minorEastAsia" w:hAnsiTheme="minorHAnsi" w:cstheme="minorBidi"/>
          <w:noProof w:val="0"/>
          <w:kern w:val="2"/>
          <w:szCs w:val="20"/>
          <w:lang w:eastAsia="zh-CN"/>
        </w:rPr>
        <w:t>WF on RRM requirements for NR_Mob_Ph4_Part1</w:t>
      </w:r>
      <w:r w:rsidR="002D68FA">
        <w:rPr>
          <w:rFonts w:asciiTheme="minorHAnsi" w:eastAsiaTheme="minorEastAsia" w:hAnsiTheme="minorHAnsi" w:cstheme="minorBidi"/>
          <w:noProof w:val="0"/>
          <w:kern w:val="2"/>
          <w:szCs w:val="20"/>
          <w:lang w:eastAsia="zh-CN"/>
        </w:rPr>
        <w:t>, Apple, RAN4#11</w:t>
      </w:r>
      <w:r w:rsidR="00F85309">
        <w:rPr>
          <w:rFonts w:asciiTheme="minorHAnsi" w:eastAsiaTheme="minorEastAsia" w:hAnsiTheme="minorHAnsi" w:cstheme="minorBidi"/>
          <w:noProof w:val="0"/>
          <w:kern w:val="2"/>
          <w:szCs w:val="20"/>
          <w:lang w:eastAsia="zh-CN"/>
        </w:rPr>
        <w:t>5</w:t>
      </w:r>
      <w:r w:rsidR="002D68FA">
        <w:rPr>
          <w:rFonts w:asciiTheme="minorHAnsi" w:eastAsiaTheme="minorEastAsia" w:hAnsiTheme="minorHAnsi" w:cstheme="minorBidi"/>
          <w:noProof w:val="0"/>
          <w:kern w:val="2"/>
          <w:szCs w:val="20"/>
          <w:lang w:eastAsia="zh-CN"/>
        </w:rPr>
        <w:t>.</w:t>
      </w:r>
    </w:p>
    <w:sectPr w:rsidR="002D68FA" w:rsidRPr="009324D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E68FA" w14:textId="77777777" w:rsidR="00720AC1" w:rsidRDefault="00720AC1">
      <w:r>
        <w:separator/>
      </w:r>
    </w:p>
  </w:endnote>
  <w:endnote w:type="continuationSeparator" w:id="0">
    <w:p w14:paraId="08720173" w14:textId="77777777" w:rsidR="00720AC1" w:rsidRDefault="00720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BAE08" w14:textId="77777777" w:rsidR="00720AC1" w:rsidRDefault="00720AC1">
      <w:r>
        <w:separator/>
      </w:r>
    </w:p>
  </w:footnote>
  <w:footnote w:type="continuationSeparator" w:id="0">
    <w:p w14:paraId="5F5164CB" w14:textId="77777777" w:rsidR="00720AC1" w:rsidRDefault="00720A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75C68"/>
    <w:multiLevelType w:val="hybridMultilevel"/>
    <w:tmpl w:val="A70ACF80"/>
    <w:lvl w:ilvl="0" w:tplc="FC3894BE">
      <w:start w:val="1"/>
      <w:numFmt w:val="bullet"/>
      <w:lvlText w:val="•"/>
      <w:lvlJc w:val="left"/>
      <w:pPr>
        <w:tabs>
          <w:tab w:val="num" w:pos="720"/>
        </w:tabs>
        <w:ind w:left="720" w:hanging="360"/>
      </w:pPr>
      <w:rPr>
        <w:rFonts w:ascii="Arial" w:hAnsi="Arial" w:hint="default"/>
      </w:rPr>
    </w:lvl>
    <w:lvl w:ilvl="1" w:tplc="B928D7C6" w:tentative="1">
      <w:start w:val="1"/>
      <w:numFmt w:val="bullet"/>
      <w:lvlText w:val="•"/>
      <w:lvlJc w:val="left"/>
      <w:pPr>
        <w:tabs>
          <w:tab w:val="num" w:pos="1440"/>
        </w:tabs>
        <w:ind w:left="1440" w:hanging="360"/>
      </w:pPr>
      <w:rPr>
        <w:rFonts w:ascii="Arial" w:hAnsi="Arial" w:hint="default"/>
      </w:rPr>
    </w:lvl>
    <w:lvl w:ilvl="2" w:tplc="881E9224" w:tentative="1">
      <w:start w:val="1"/>
      <w:numFmt w:val="bullet"/>
      <w:lvlText w:val="•"/>
      <w:lvlJc w:val="left"/>
      <w:pPr>
        <w:tabs>
          <w:tab w:val="num" w:pos="2160"/>
        </w:tabs>
        <w:ind w:left="2160" w:hanging="360"/>
      </w:pPr>
      <w:rPr>
        <w:rFonts w:ascii="Arial" w:hAnsi="Arial" w:hint="default"/>
      </w:rPr>
    </w:lvl>
    <w:lvl w:ilvl="3" w:tplc="0B785622" w:tentative="1">
      <w:start w:val="1"/>
      <w:numFmt w:val="bullet"/>
      <w:lvlText w:val="•"/>
      <w:lvlJc w:val="left"/>
      <w:pPr>
        <w:tabs>
          <w:tab w:val="num" w:pos="2880"/>
        </w:tabs>
        <w:ind w:left="2880" w:hanging="360"/>
      </w:pPr>
      <w:rPr>
        <w:rFonts w:ascii="Arial" w:hAnsi="Arial" w:hint="default"/>
      </w:rPr>
    </w:lvl>
    <w:lvl w:ilvl="4" w:tplc="C14E4CA6" w:tentative="1">
      <w:start w:val="1"/>
      <w:numFmt w:val="bullet"/>
      <w:lvlText w:val="•"/>
      <w:lvlJc w:val="left"/>
      <w:pPr>
        <w:tabs>
          <w:tab w:val="num" w:pos="3600"/>
        </w:tabs>
        <w:ind w:left="3600" w:hanging="360"/>
      </w:pPr>
      <w:rPr>
        <w:rFonts w:ascii="Arial" w:hAnsi="Arial" w:hint="default"/>
      </w:rPr>
    </w:lvl>
    <w:lvl w:ilvl="5" w:tplc="EA9AAF82" w:tentative="1">
      <w:start w:val="1"/>
      <w:numFmt w:val="bullet"/>
      <w:lvlText w:val="•"/>
      <w:lvlJc w:val="left"/>
      <w:pPr>
        <w:tabs>
          <w:tab w:val="num" w:pos="4320"/>
        </w:tabs>
        <w:ind w:left="4320" w:hanging="360"/>
      </w:pPr>
      <w:rPr>
        <w:rFonts w:ascii="Arial" w:hAnsi="Arial" w:hint="default"/>
      </w:rPr>
    </w:lvl>
    <w:lvl w:ilvl="6" w:tplc="9DC880FA" w:tentative="1">
      <w:start w:val="1"/>
      <w:numFmt w:val="bullet"/>
      <w:lvlText w:val="•"/>
      <w:lvlJc w:val="left"/>
      <w:pPr>
        <w:tabs>
          <w:tab w:val="num" w:pos="5040"/>
        </w:tabs>
        <w:ind w:left="5040" w:hanging="360"/>
      </w:pPr>
      <w:rPr>
        <w:rFonts w:ascii="Arial" w:hAnsi="Arial" w:hint="default"/>
      </w:rPr>
    </w:lvl>
    <w:lvl w:ilvl="7" w:tplc="6BC62470" w:tentative="1">
      <w:start w:val="1"/>
      <w:numFmt w:val="bullet"/>
      <w:lvlText w:val="•"/>
      <w:lvlJc w:val="left"/>
      <w:pPr>
        <w:tabs>
          <w:tab w:val="num" w:pos="5760"/>
        </w:tabs>
        <w:ind w:left="5760" w:hanging="360"/>
      </w:pPr>
      <w:rPr>
        <w:rFonts w:ascii="Arial" w:hAnsi="Arial" w:hint="default"/>
      </w:rPr>
    </w:lvl>
    <w:lvl w:ilvl="8" w:tplc="5F107B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2A1DD0"/>
    <w:multiLevelType w:val="hybridMultilevel"/>
    <w:tmpl w:val="C4FECB3E"/>
    <w:lvl w:ilvl="0" w:tplc="C298E1E0">
      <w:start w:val="1"/>
      <w:numFmt w:val="bullet"/>
      <w:lvlText w:val="•"/>
      <w:lvlJc w:val="left"/>
      <w:pPr>
        <w:tabs>
          <w:tab w:val="num" w:pos="720"/>
        </w:tabs>
        <w:ind w:left="720" w:hanging="360"/>
      </w:pPr>
      <w:rPr>
        <w:rFonts w:ascii="Arial" w:hAnsi="Arial" w:hint="default"/>
      </w:rPr>
    </w:lvl>
    <w:lvl w:ilvl="1" w:tplc="0B2298E6" w:tentative="1">
      <w:start w:val="1"/>
      <w:numFmt w:val="bullet"/>
      <w:lvlText w:val="•"/>
      <w:lvlJc w:val="left"/>
      <w:pPr>
        <w:tabs>
          <w:tab w:val="num" w:pos="1440"/>
        </w:tabs>
        <w:ind w:left="1440" w:hanging="360"/>
      </w:pPr>
      <w:rPr>
        <w:rFonts w:ascii="Arial" w:hAnsi="Arial" w:hint="default"/>
      </w:rPr>
    </w:lvl>
    <w:lvl w:ilvl="2" w:tplc="5B705C88" w:tentative="1">
      <w:start w:val="1"/>
      <w:numFmt w:val="bullet"/>
      <w:lvlText w:val="•"/>
      <w:lvlJc w:val="left"/>
      <w:pPr>
        <w:tabs>
          <w:tab w:val="num" w:pos="2160"/>
        </w:tabs>
        <w:ind w:left="2160" w:hanging="360"/>
      </w:pPr>
      <w:rPr>
        <w:rFonts w:ascii="Arial" w:hAnsi="Arial" w:hint="default"/>
      </w:rPr>
    </w:lvl>
    <w:lvl w:ilvl="3" w:tplc="6BECA916" w:tentative="1">
      <w:start w:val="1"/>
      <w:numFmt w:val="bullet"/>
      <w:lvlText w:val="•"/>
      <w:lvlJc w:val="left"/>
      <w:pPr>
        <w:tabs>
          <w:tab w:val="num" w:pos="2880"/>
        </w:tabs>
        <w:ind w:left="2880" w:hanging="360"/>
      </w:pPr>
      <w:rPr>
        <w:rFonts w:ascii="Arial" w:hAnsi="Arial" w:hint="default"/>
      </w:rPr>
    </w:lvl>
    <w:lvl w:ilvl="4" w:tplc="278A2A36" w:tentative="1">
      <w:start w:val="1"/>
      <w:numFmt w:val="bullet"/>
      <w:lvlText w:val="•"/>
      <w:lvlJc w:val="left"/>
      <w:pPr>
        <w:tabs>
          <w:tab w:val="num" w:pos="3600"/>
        </w:tabs>
        <w:ind w:left="3600" w:hanging="360"/>
      </w:pPr>
      <w:rPr>
        <w:rFonts w:ascii="Arial" w:hAnsi="Arial" w:hint="default"/>
      </w:rPr>
    </w:lvl>
    <w:lvl w:ilvl="5" w:tplc="AE10370E" w:tentative="1">
      <w:start w:val="1"/>
      <w:numFmt w:val="bullet"/>
      <w:lvlText w:val="•"/>
      <w:lvlJc w:val="left"/>
      <w:pPr>
        <w:tabs>
          <w:tab w:val="num" w:pos="4320"/>
        </w:tabs>
        <w:ind w:left="4320" w:hanging="360"/>
      </w:pPr>
      <w:rPr>
        <w:rFonts w:ascii="Arial" w:hAnsi="Arial" w:hint="default"/>
      </w:rPr>
    </w:lvl>
    <w:lvl w:ilvl="6" w:tplc="6C7675D8" w:tentative="1">
      <w:start w:val="1"/>
      <w:numFmt w:val="bullet"/>
      <w:lvlText w:val="•"/>
      <w:lvlJc w:val="left"/>
      <w:pPr>
        <w:tabs>
          <w:tab w:val="num" w:pos="5040"/>
        </w:tabs>
        <w:ind w:left="5040" w:hanging="360"/>
      </w:pPr>
      <w:rPr>
        <w:rFonts w:ascii="Arial" w:hAnsi="Arial" w:hint="default"/>
      </w:rPr>
    </w:lvl>
    <w:lvl w:ilvl="7" w:tplc="7FFA09EC" w:tentative="1">
      <w:start w:val="1"/>
      <w:numFmt w:val="bullet"/>
      <w:lvlText w:val="•"/>
      <w:lvlJc w:val="left"/>
      <w:pPr>
        <w:tabs>
          <w:tab w:val="num" w:pos="5760"/>
        </w:tabs>
        <w:ind w:left="5760" w:hanging="360"/>
      </w:pPr>
      <w:rPr>
        <w:rFonts w:ascii="Arial" w:hAnsi="Arial" w:hint="default"/>
      </w:rPr>
    </w:lvl>
    <w:lvl w:ilvl="8" w:tplc="08EEDB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334A9C"/>
    <w:multiLevelType w:val="hybridMultilevel"/>
    <w:tmpl w:val="FB988294"/>
    <w:lvl w:ilvl="0" w:tplc="C6206BE2">
      <w:start w:val="1"/>
      <w:numFmt w:val="bullet"/>
      <w:lvlText w:val="•"/>
      <w:lvlJc w:val="left"/>
      <w:pPr>
        <w:tabs>
          <w:tab w:val="num" w:pos="720"/>
        </w:tabs>
        <w:ind w:left="720" w:hanging="360"/>
      </w:pPr>
      <w:rPr>
        <w:rFonts w:ascii="Arial" w:hAnsi="Arial" w:hint="default"/>
      </w:rPr>
    </w:lvl>
    <w:lvl w:ilvl="1" w:tplc="54525354" w:tentative="1">
      <w:start w:val="1"/>
      <w:numFmt w:val="bullet"/>
      <w:lvlText w:val="•"/>
      <w:lvlJc w:val="left"/>
      <w:pPr>
        <w:tabs>
          <w:tab w:val="num" w:pos="1440"/>
        </w:tabs>
        <w:ind w:left="1440" w:hanging="360"/>
      </w:pPr>
      <w:rPr>
        <w:rFonts w:ascii="Arial" w:hAnsi="Arial" w:hint="default"/>
      </w:rPr>
    </w:lvl>
    <w:lvl w:ilvl="2" w:tplc="51D48A7E" w:tentative="1">
      <w:start w:val="1"/>
      <w:numFmt w:val="bullet"/>
      <w:lvlText w:val="•"/>
      <w:lvlJc w:val="left"/>
      <w:pPr>
        <w:tabs>
          <w:tab w:val="num" w:pos="2160"/>
        </w:tabs>
        <w:ind w:left="2160" w:hanging="360"/>
      </w:pPr>
      <w:rPr>
        <w:rFonts w:ascii="Arial" w:hAnsi="Arial" w:hint="default"/>
      </w:rPr>
    </w:lvl>
    <w:lvl w:ilvl="3" w:tplc="8B5833C2" w:tentative="1">
      <w:start w:val="1"/>
      <w:numFmt w:val="bullet"/>
      <w:lvlText w:val="•"/>
      <w:lvlJc w:val="left"/>
      <w:pPr>
        <w:tabs>
          <w:tab w:val="num" w:pos="2880"/>
        </w:tabs>
        <w:ind w:left="2880" w:hanging="360"/>
      </w:pPr>
      <w:rPr>
        <w:rFonts w:ascii="Arial" w:hAnsi="Arial" w:hint="default"/>
      </w:rPr>
    </w:lvl>
    <w:lvl w:ilvl="4" w:tplc="15AA5F28" w:tentative="1">
      <w:start w:val="1"/>
      <w:numFmt w:val="bullet"/>
      <w:lvlText w:val="•"/>
      <w:lvlJc w:val="left"/>
      <w:pPr>
        <w:tabs>
          <w:tab w:val="num" w:pos="3600"/>
        </w:tabs>
        <w:ind w:left="3600" w:hanging="360"/>
      </w:pPr>
      <w:rPr>
        <w:rFonts w:ascii="Arial" w:hAnsi="Arial" w:hint="default"/>
      </w:rPr>
    </w:lvl>
    <w:lvl w:ilvl="5" w:tplc="FBB04280" w:tentative="1">
      <w:start w:val="1"/>
      <w:numFmt w:val="bullet"/>
      <w:lvlText w:val="•"/>
      <w:lvlJc w:val="left"/>
      <w:pPr>
        <w:tabs>
          <w:tab w:val="num" w:pos="4320"/>
        </w:tabs>
        <w:ind w:left="4320" w:hanging="360"/>
      </w:pPr>
      <w:rPr>
        <w:rFonts w:ascii="Arial" w:hAnsi="Arial" w:hint="default"/>
      </w:rPr>
    </w:lvl>
    <w:lvl w:ilvl="6" w:tplc="A3489216" w:tentative="1">
      <w:start w:val="1"/>
      <w:numFmt w:val="bullet"/>
      <w:lvlText w:val="•"/>
      <w:lvlJc w:val="left"/>
      <w:pPr>
        <w:tabs>
          <w:tab w:val="num" w:pos="5040"/>
        </w:tabs>
        <w:ind w:left="5040" w:hanging="360"/>
      </w:pPr>
      <w:rPr>
        <w:rFonts w:ascii="Arial" w:hAnsi="Arial" w:hint="default"/>
      </w:rPr>
    </w:lvl>
    <w:lvl w:ilvl="7" w:tplc="F3408718" w:tentative="1">
      <w:start w:val="1"/>
      <w:numFmt w:val="bullet"/>
      <w:lvlText w:val="•"/>
      <w:lvlJc w:val="left"/>
      <w:pPr>
        <w:tabs>
          <w:tab w:val="num" w:pos="5760"/>
        </w:tabs>
        <w:ind w:left="5760" w:hanging="360"/>
      </w:pPr>
      <w:rPr>
        <w:rFonts w:ascii="Arial" w:hAnsi="Arial" w:hint="default"/>
      </w:rPr>
    </w:lvl>
    <w:lvl w:ilvl="8" w:tplc="128C09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E51BED"/>
    <w:multiLevelType w:val="hybridMultilevel"/>
    <w:tmpl w:val="0A9A1C2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start w:val="1"/>
      <w:numFmt w:val="bullet"/>
      <w:lvlText w:val=""/>
      <w:lvlJc w:val="left"/>
      <w:pPr>
        <w:ind w:left="3084" w:hanging="360"/>
      </w:pPr>
      <w:rPr>
        <w:rFonts w:ascii="Symbol" w:hAnsi="Symbol" w:hint="default"/>
      </w:rPr>
    </w:lvl>
    <w:lvl w:ilvl="4" w:tplc="04090003">
      <w:start w:val="1"/>
      <w:numFmt w:val="bullet"/>
      <w:lvlText w:val="o"/>
      <w:lvlJc w:val="left"/>
      <w:pPr>
        <w:ind w:left="3804" w:hanging="360"/>
      </w:pPr>
      <w:rPr>
        <w:rFonts w:ascii="Courier New" w:hAnsi="Courier New" w:cs="Courier New" w:hint="default"/>
      </w:rPr>
    </w:lvl>
    <w:lvl w:ilvl="5" w:tplc="04090005">
      <w:start w:val="1"/>
      <w:numFmt w:val="bullet"/>
      <w:lvlText w:val=""/>
      <w:lvlJc w:val="left"/>
      <w:pPr>
        <w:ind w:left="4524" w:hanging="360"/>
      </w:pPr>
      <w:rPr>
        <w:rFonts w:ascii="Wingdings" w:hAnsi="Wingdings" w:hint="default"/>
      </w:rPr>
    </w:lvl>
    <w:lvl w:ilvl="6" w:tplc="04090001">
      <w:start w:val="1"/>
      <w:numFmt w:val="bullet"/>
      <w:lvlText w:val=""/>
      <w:lvlJc w:val="left"/>
      <w:pPr>
        <w:ind w:left="5244" w:hanging="360"/>
      </w:pPr>
      <w:rPr>
        <w:rFonts w:ascii="Symbol" w:hAnsi="Symbol" w:hint="default"/>
      </w:rPr>
    </w:lvl>
    <w:lvl w:ilvl="7" w:tplc="04090003">
      <w:start w:val="1"/>
      <w:numFmt w:val="bullet"/>
      <w:lvlText w:val="o"/>
      <w:lvlJc w:val="left"/>
      <w:pPr>
        <w:ind w:left="5964" w:hanging="360"/>
      </w:pPr>
      <w:rPr>
        <w:rFonts w:ascii="Courier New" w:hAnsi="Courier New" w:cs="Courier New" w:hint="default"/>
      </w:rPr>
    </w:lvl>
    <w:lvl w:ilvl="8" w:tplc="04090005">
      <w:start w:val="1"/>
      <w:numFmt w:val="bullet"/>
      <w:lvlText w:val=""/>
      <w:lvlJc w:val="left"/>
      <w:pPr>
        <w:ind w:left="6684"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C678ED"/>
    <w:multiLevelType w:val="hybridMultilevel"/>
    <w:tmpl w:val="C89827BE"/>
    <w:lvl w:ilvl="0" w:tplc="0A1AD216">
      <w:start w:val="1"/>
      <w:numFmt w:val="bullet"/>
      <w:lvlText w:val="•"/>
      <w:lvlJc w:val="left"/>
      <w:pPr>
        <w:tabs>
          <w:tab w:val="num" w:pos="720"/>
        </w:tabs>
        <w:ind w:left="720" w:hanging="360"/>
      </w:pPr>
      <w:rPr>
        <w:rFonts w:ascii="Arial" w:hAnsi="Arial" w:hint="default"/>
      </w:rPr>
    </w:lvl>
    <w:lvl w:ilvl="1" w:tplc="141840F6" w:tentative="1">
      <w:start w:val="1"/>
      <w:numFmt w:val="bullet"/>
      <w:lvlText w:val="•"/>
      <w:lvlJc w:val="left"/>
      <w:pPr>
        <w:tabs>
          <w:tab w:val="num" w:pos="1440"/>
        </w:tabs>
        <w:ind w:left="1440" w:hanging="360"/>
      </w:pPr>
      <w:rPr>
        <w:rFonts w:ascii="Arial" w:hAnsi="Arial" w:hint="default"/>
      </w:rPr>
    </w:lvl>
    <w:lvl w:ilvl="2" w:tplc="87680DD2" w:tentative="1">
      <w:start w:val="1"/>
      <w:numFmt w:val="bullet"/>
      <w:lvlText w:val="•"/>
      <w:lvlJc w:val="left"/>
      <w:pPr>
        <w:tabs>
          <w:tab w:val="num" w:pos="2160"/>
        </w:tabs>
        <w:ind w:left="2160" w:hanging="360"/>
      </w:pPr>
      <w:rPr>
        <w:rFonts w:ascii="Arial" w:hAnsi="Arial" w:hint="default"/>
      </w:rPr>
    </w:lvl>
    <w:lvl w:ilvl="3" w:tplc="9446D010" w:tentative="1">
      <w:start w:val="1"/>
      <w:numFmt w:val="bullet"/>
      <w:lvlText w:val="•"/>
      <w:lvlJc w:val="left"/>
      <w:pPr>
        <w:tabs>
          <w:tab w:val="num" w:pos="2880"/>
        </w:tabs>
        <w:ind w:left="2880" w:hanging="360"/>
      </w:pPr>
      <w:rPr>
        <w:rFonts w:ascii="Arial" w:hAnsi="Arial" w:hint="default"/>
      </w:rPr>
    </w:lvl>
    <w:lvl w:ilvl="4" w:tplc="8460E4BA" w:tentative="1">
      <w:start w:val="1"/>
      <w:numFmt w:val="bullet"/>
      <w:lvlText w:val="•"/>
      <w:lvlJc w:val="left"/>
      <w:pPr>
        <w:tabs>
          <w:tab w:val="num" w:pos="3600"/>
        </w:tabs>
        <w:ind w:left="3600" w:hanging="360"/>
      </w:pPr>
      <w:rPr>
        <w:rFonts w:ascii="Arial" w:hAnsi="Arial" w:hint="default"/>
      </w:rPr>
    </w:lvl>
    <w:lvl w:ilvl="5" w:tplc="4ED84734" w:tentative="1">
      <w:start w:val="1"/>
      <w:numFmt w:val="bullet"/>
      <w:lvlText w:val="•"/>
      <w:lvlJc w:val="left"/>
      <w:pPr>
        <w:tabs>
          <w:tab w:val="num" w:pos="4320"/>
        </w:tabs>
        <w:ind w:left="4320" w:hanging="360"/>
      </w:pPr>
      <w:rPr>
        <w:rFonts w:ascii="Arial" w:hAnsi="Arial" w:hint="default"/>
      </w:rPr>
    </w:lvl>
    <w:lvl w:ilvl="6" w:tplc="06A89DEA" w:tentative="1">
      <w:start w:val="1"/>
      <w:numFmt w:val="bullet"/>
      <w:lvlText w:val="•"/>
      <w:lvlJc w:val="left"/>
      <w:pPr>
        <w:tabs>
          <w:tab w:val="num" w:pos="5040"/>
        </w:tabs>
        <w:ind w:left="5040" w:hanging="360"/>
      </w:pPr>
      <w:rPr>
        <w:rFonts w:ascii="Arial" w:hAnsi="Arial" w:hint="default"/>
      </w:rPr>
    </w:lvl>
    <w:lvl w:ilvl="7" w:tplc="BF7451E8" w:tentative="1">
      <w:start w:val="1"/>
      <w:numFmt w:val="bullet"/>
      <w:lvlText w:val="•"/>
      <w:lvlJc w:val="left"/>
      <w:pPr>
        <w:tabs>
          <w:tab w:val="num" w:pos="5760"/>
        </w:tabs>
        <w:ind w:left="5760" w:hanging="360"/>
      </w:pPr>
      <w:rPr>
        <w:rFonts w:ascii="Arial" w:hAnsi="Arial" w:hint="default"/>
      </w:rPr>
    </w:lvl>
    <w:lvl w:ilvl="8" w:tplc="C6BA5A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80907215">
    <w:abstractNumId w:val="14"/>
  </w:num>
  <w:num w:numId="2" w16cid:durableId="2066179577">
    <w:abstractNumId w:val="8"/>
  </w:num>
  <w:num w:numId="3" w16cid:durableId="1696270071">
    <w:abstractNumId w:val="1"/>
  </w:num>
  <w:num w:numId="4" w16cid:durableId="1988512168">
    <w:abstractNumId w:val="0"/>
  </w:num>
  <w:num w:numId="5" w16cid:durableId="1507675303">
    <w:abstractNumId w:val="10"/>
    <w:lvlOverride w:ilvl="0">
      <w:startOverride w:val="1"/>
    </w:lvlOverride>
  </w:num>
  <w:num w:numId="6" w16cid:durableId="1064258278">
    <w:abstractNumId w:val="15"/>
  </w:num>
  <w:num w:numId="7" w16cid:durableId="648172848">
    <w:abstractNumId w:val="11"/>
  </w:num>
  <w:num w:numId="8" w16cid:durableId="929192334">
    <w:abstractNumId w:val="12"/>
  </w:num>
  <w:num w:numId="9" w16cid:durableId="1661928400">
    <w:abstractNumId w:val="6"/>
  </w:num>
  <w:num w:numId="10" w16cid:durableId="913969805">
    <w:abstractNumId w:val="13"/>
  </w:num>
  <w:num w:numId="11" w16cid:durableId="1982029420">
    <w:abstractNumId w:val="9"/>
  </w:num>
  <w:num w:numId="12" w16cid:durableId="1000960844">
    <w:abstractNumId w:val="2"/>
  </w:num>
  <w:num w:numId="13" w16cid:durableId="1963994101">
    <w:abstractNumId w:val="5"/>
  </w:num>
  <w:num w:numId="14" w16cid:durableId="27264513">
    <w:abstractNumId w:val="17"/>
  </w:num>
  <w:num w:numId="15" w16cid:durableId="1352300169">
    <w:abstractNumId w:val="17"/>
  </w:num>
  <w:num w:numId="16" w16cid:durableId="476924443">
    <w:abstractNumId w:val="16"/>
  </w:num>
  <w:num w:numId="17" w16cid:durableId="1116212705">
    <w:abstractNumId w:val="3"/>
  </w:num>
  <w:num w:numId="18" w16cid:durableId="577010698">
    <w:abstractNumId w:val="4"/>
  </w:num>
  <w:num w:numId="19" w16cid:durableId="810755722">
    <w:abstractNumId w:val="12"/>
  </w:num>
  <w:num w:numId="20" w16cid:durableId="746850582">
    <w:abstractNumId w:val="17"/>
  </w:num>
  <w:num w:numId="21" w16cid:durableId="2062703887">
    <w:abstractNumId w:val="17"/>
  </w:num>
  <w:num w:numId="22" w16cid:durableId="135457337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C77"/>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6E67"/>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898"/>
    <w:rsid w:val="000778E0"/>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EA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26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468"/>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523"/>
    <w:rsid w:val="00192BED"/>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5D38"/>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997"/>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2B0"/>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07F07"/>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381"/>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A9E"/>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851"/>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85"/>
    <w:rsid w:val="00291296"/>
    <w:rsid w:val="0029170E"/>
    <w:rsid w:val="00291D26"/>
    <w:rsid w:val="00291EC7"/>
    <w:rsid w:val="00291EE2"/>
    <w:rsid w:val="002927DE"/>
    <w:rsid w:val="0029281C"/>
    <w:rsid w:val="00292908"/>
    <w:rsid w:val="00292B5F"/>
    <w:rsid w:val="00293688"/>
    <w:rsid w:val="00294741"/>
    <w:rsid w:val="002947BB"/>
    <w:rsid w:val="00294B67"/>
    <w:rsid w:val="00294D5F"/>
    <w:rsid w:val="00294E8F"/>
    <w:rsid w:val="00295F5C"/>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93"/>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197"/>
    <w:rsid w:val="002D6230"/>
    <w:rsid w:val="002D6310"/>
    <w:rsid w:val="002D650C"/>
    <w:rsid w:val="002D68FA"/>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4FB2"/>
    <w:rsid w:val="002F54FD"/>
    <w:rsid w:val="002F5804"/>
    <w:rsid w:val="002F618D"/>
    <w:rsid w:val="002F6455"/>
    <w:rsid w:val="002F64BB"/>
    <w:rsid w:val="002F6ABF"/>
    <w:rsid w:val="002F6CBF"/>
    <w:rsid w:val="002F6CF8"/>
    <w:rsid w:val="002F6E8C"/>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3F00"/>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260"/>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4BF"/>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378"/>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6F05"/>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82B"/>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8C5"/>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5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E21"/>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6D9"/>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0CF5"/>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82F"/>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52A"/>
    <w:rsid w:val="004C4C6C"/>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4CA3"/>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607"/>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78C"/>
    <w:rsid w:val="00506D6D"/>
    <w:rsid w:val="005070C8"/>
    <w:rsid w:val="0050733F"/>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DAE"/>
    <w:rsid w:val="00522EBB"/>
    <w:rsid w:val="0052312D"/>
    <w:rsid w:val="0052332A"/>
    <w:rsid w:val="005236C9"/>
    <w:rsid w:val="005237A4"/>
    <w:rsid w:val="00523F0C"/>
    <w:rsid w:val="005247DF"/>
    <w:rsid w:val="00524AC6"/>
    <w:rsid w:val="00524D70"/>
    <w:rsid w:val="00524DC5"/>
    <w:rsid w:val="00524F72"/>
    <w:rsid w:val="00525454"/>
    <w:rsid w:val="005257CD"/>
    <w:rsid w:val="00525A88"/>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B2E"/>
    <w:rsid w:val="00554E08"/>
    <w:rsid w:val="00554E74"/>
    <w:rsid w:val="005552D9"/>
    <w:rsid w:val="005554FF"/>
    <w:rsid w:val="00555C78"/>
    <w:rsid w:val="00556422"/>
    <w:rsid w:val="005564E0"/>
    <w:rsid w:val="0055690B"/>
    <w:rsid w:val="00556A6B"/>
    <w:rsid w:val="00556F36"/>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CCE"/>
    <w:rsid w:val="00570E41"/>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2B5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7FA"/>
    <w:rsid w:val="005F6AFD"/>
    <w:rsid w:val="005F6B7D"/>
    <w:rsid w:val="005F6E34"/>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E01"/>
    <w:rsid w:val="00616260"/>
    <w:rsid w:val="00616781"/>
    <w:rsid w:val="0061688F"/>
    <w:rsid w:val="006169A4"/>
    <w:rsid w:val="00616D8C"/>
    <w:rsid w:val="006173C6"/>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9"/>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1DE"/>
    <w:rsid w:val="00640576"/>
    <w:rsid w:val="00640785"/>
    <w:rsid w:val="00640F4F"/>
    <w:rsid w:val="006412C2"/>
    <w:rsid w:val="00641620"/>
    <w:rsid w:val="006419FD"/>
    <w:rsid w:val="00641B69"/>
    <w:rsid w:val="00641B8E"/>
    <w:rsid w:val="00641C8C"/>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9B"/>
    <w:rsid w:val="00645FB8"/>
    <w:rsid w:val="00645FE9"/>
    <w:rsid w:val="00646442"/>
    <w:rsid w:val="006469EE"/>
    <w:rsid w:val="00646C13"/>
    <w:rsid w:val="00646C41"/>
    <w:rsid w:val="00647276"/>
    <w:rsid w:val="00647968"/>
    <w:rsid w:val="00647A15"/>
    <w:rsid w:val="00647E71"/>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A01"/>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4F0F"/>
    <w:rsid w:val="006853C5"/>
    <w:rsid w:val="00685557"/>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7E4"/>
    <w:rsid w:val="006A3CF1"/>
    <w:rsid w:val="006A3EB1"/>
    <w:rsid w:val="006A3ECE"/>
    <w:rsid w:val="006A4B52"/>
    <w:rsid w:val="006A4D29"/>
    <w:rsid w:val="006A4EF6"/>
    <w:rsid w:val="006A5123"/>
    <w:rsid w:val="006A5593"/>
    <w:rsid w:val="006A5595"/>
    <w:rsid w:val="006A5AE1"/>
    <w:rsid w:val="006A5FF7"/>
    <w:rsid w:val="006A6477"/>
    <w:rsid w:val="006A6BE7"/>
    <w:rsid w:val="006A6C06"/>
    <w:rsid w:val="006A6DE9"/>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07E32"/>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1"/>
    <w:rsid w:val="00720ACA"/>
    <w:rsid w:val="00720B30"/>
    <w:rsid w:val="00720FDF"/>
    <w:rsid w:val="00721027"/>
    <w:rsid w:val="00721244"/>
    <w:rsid w:val="0072130A"/>
    <w:rsid w:val="007214EE"/>
    <w:rsid w:val="007218A2"/>
    <w:rsid w:val="00721CD1"/>
    <w:rsid w:val="007220DE"/>
    <w:rsid w:val="0072235B"/>
    <w:rsid w:val="007229D4"/>
    <w:rsid w:val="00722D08"/>
    <w:rsid w:val="00722E55"/>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E24"/>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36"/>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2F28"/>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EB5"/>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38C"/>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2"/>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3D33"/>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BB9"/>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262"/>
    <w:rsid w:val="0086652B"/>
    <w:rsid w:val="0086656A"/>
    <w:rsid w:val="00866614"/>
    <w:rsid w:val="008667E0"/>
    <w:rsid w:val="00866ADA"/>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E0C"/>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3A6"/>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1DC8"/>
    <w:rsid w:val="00931E0B"/>
    <w:rsid w:val="00931E9C"/>
    <w:rsid w:val="0093222A"/>
    <w:rsid w:val="009324DF"/>
    <w:rsid w:val="0093287C"/>
    <w:rsid w:val="00932A5B"/>
    <w:rsid w:val="00933880"/>
    <w:rsid w:val="00933C0D"/>
    <w:rsid w:val="00933DE0"/>
    <w:rsid w:val="00933F8D"/>
    <w:rsid w:val="0093406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3A3"/>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A2"/>
    <w:rsid w:val="009962C9"/>
    <w:rsid w:val="00996560"/>
    <w:rsid w:val="00996B25"/>
    <w:rsid w:val="0099744D"/>
    <w:rsid w:val="00997727"/>
    <w:rsid w:val="009979C2"/>
    <w:rsid w:val="00997D81"/>
    <w:rsid w:val="009A01B0"/>
    <w:rsid w:val="009A02C2"/>
    <w:rsid w:val="009A0D03"/>
    <w:rsid w:val="009A0D0C"/>
    <w:rsid w:val="009A0DB0"/>
    <w:rsid w:val="009A1D73"/>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50B"/>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0BF"/>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AC8"/>
    <w:rsid w:val="00A50CD6"/>
    <w:rsid w:val="00A5107C"/>
    <w:rsid w:val="00A5155C"/>
    <w:rsid w:val="00A52E06"/>
    <w:rsid w:val="00A539BC"/>
    <w:rsid w:val="00A53AFE"/>
    <w:rsid w:val="00A53E96"/>
    <w:rsid w:val="00A5403C"/>
    <w:rsid w:val="00A54B5A"/>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537"/>
    <w:rsid w:val="00A65AE8"/>
    <w:rsid w:val="00A65CD4"/>
    <w:rsid w:val="00A662EC"/>
    <w:rsid w:val="00A66510"/>
    <w:rsid w:val="00A66719"/>
    <w:rsid w:val="00A667E7"/>
    <w:rsid w:val="00A66AE9"/>
    <w:rsid w:val="00A67187"/>
    <w:rsid w:val="00A679F0"/>
    <w:rsid w:val="00A67EC3"/>
    <w:rsid w:val="00A7030F"/>
    <w:rsid w:val="00A705E3"/>
    <w:rsid w:val="00A70805"/>
    <w:rsid w:val="00A710D4"/>
    <w:rsid w:val="00A712B6"/>
    <w:rsid w:val="00A720C2"/>
    <w:rsid w:val="00A7217E"/>
    <w:rsid w:val="00A72300"/>
    <w:rsid w:val="00A724B8"/>
    <w:rsid w:val="00A7369A"/>
    <w:rsid w:val="00A739B2"/>
    <w:rsid w:val="00A73C10"/>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3EC3"/>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6F1D"/>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C5A"/>
    <w:rsid w:val="00B17322"/>
    <w:rsid w:val="00B175E8"/>
    <w:rsid w:val="00B17612"/>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840"/>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18"/>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B7F0F"/>
    <w:rsid w:val="00BC0AA3"/>
    <w:rsid w:val="00BC1730"/>
    <w:rsid w:val="00BC19C0"/>
    <w:rsid w:val="00BC2158"/>
    <w:rsid w:val="00BC21A5"/>
    <w:rsid w:val="00BC2247"/>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DE"/>
    <w:rsid w:val="00BC613B"/>
    <w:rsid w:val="00BC655E"/>
    <w:rsid w:val="00BC6642"/>
    <w:rsid w:val="00BC6C67"/>
    <w:rsid w:val="00BC6E7E"/>
    <w:rsid w:val="00BC7267"/>
    <w:rsid w:val="00BC78C6"/>
    <w:rsid w:val="00BC7A24"/>
    <w:rsid w:val="00BC7D6B"/>
    <w:rsid w:val="00BC7F1F"/>
    <w:rsid w:val="00BD0600"/>
    <w:rsid w:val="00BD129A"/>
    <w:rsid w:val="00BD1E46"/>
    <w:rsid w:val="00BD20A2"/>
    <w:rsid w:val="00BD2108"/>
    <w:rsid w:val="00BD2379"/>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7CA"/>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97E"/>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A36"/>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258"/>
    <w:rsid w:val="00C5092C"/>
    <w:rsid w:val="00C50A24"/>
    <w:rsid w:val="00C50AEA"/>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C47"/>
    <w:rsid w:val="00C62D1E"/>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3F5"/>
    <w:rsid w:val="00C90724"/>
    <w:rsid w:val="00C907AB"/>
    <w:rsid w:val="00C90A9C"/>
    <w:rsid w:val="00C90DA7"/>
    <w:rsid w:val="00C90DC6"/>
    <w:rsid w:val="00C9101B"/>
    <w:rsid w:val="00C910D7"/>
    <w:rsid w:val="00C91674"/>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D11"/>
    <w:rsid w:val="00CF7E23"/>
    <w:rsid w:val="00D001B9"/>
    <w:rsid w:val="00D00419"/>
    <w:rsid w:val="00D00659"/>
    <w:rsid w:val="00D00B96"/>
    <w:rsid w:val="00D00F53"/>
    <w:rsid w:val="00D01307"/>
    <w:rsid w:val="00D01CFA"/>
    <w:rsid w:val="00D01F53"/>
    <w:rsid w:val="00D0227F"/>
    <w:rsid w:val="00D023E6"/>
    <w:rsid w:val="00D02415"/>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0F9B"/>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15"/>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62D"/>
    <w:rsid w:val="00D8363E"/>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964"/>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E8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20E5"/>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66F"/>
    <w:rsid w:val="00E35A29"/>
    <w:rsid w:val="00E362A7"/>
    <w:rsid w:val="00E36366"/>
    <w:rsid w:val="00E3643A"/>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0C9"/>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959"/>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97E95"/>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7AC"/>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7AF"/>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7D7"/>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584"/>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466"/>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5B4"/>
    <w:rsid w:val="00F80C67"/>
    <w:rsid w:val="00F810BB"/>
    <w:rsid w:val="00F81101"/>
    <w:rsid w:val="00F81356"/>
    <w:rsid w:val="00F81886"/>
    <w:rsid w:val="00F81992"/>
    <w:rsid w:val="00F819FE"/>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309"/>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1ECB"/>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4BF"/>
    <w:rsid w:val="00FD55B8"/>
    <w:rsid w:val="00FD59C9"/>
    <w:rsid w:val="00FD5B72"/>
    <w:rsid w:val="00FD5F2D"/>
    <w:rsid w:val="00FD60EC"/>
    <w:rsid w:val="00FD6463"/>
    <w:rsid w:val="00FD65B2"/>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0A9E"/>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40A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0A9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
    <w:basedOn w:val="DefaultParagraphFont"/>
    <w:link w:val="Heading4"/>
    <w:rsid w:val="00EF27A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383003">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1083100">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837788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2918935">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174902">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434383">
      <w:bodyDiv w:val="1"/>
      <w:marLeft w:val="0"/>
      <w:marRight w:val="0"/>
      <w:marTop w:val="0"/>
      <w:marBottom w:val="0"/>
      <w:divBdr>
        <w:top w:val="none" w:sz="0" w:space="0" w:color="auto"/>
        <w:left w:val="none" w:sz="0" w:space="0" w:color="auto"/>
        <w:bottom w:val="none" w:sz="0" w:space="0" w:color="auto"/>
        <w:right w:val="none" w:sz="0" w:space="0" w:color="auto"/>
      </w:divBdr>
      <w:divsChild>
        <w:div w:id="1548832143">
          <w:marLeft w:val="446"/>
          <w:marRight w:val="0"/>
          <w:marTop w:val="0"/>
          <w:marBottom w:val="0"/>
          <w:divBdr>
            <w:top w:val="none" w:sz="0" w:space="0" w:color="auto"/>
            <w:left w:val="none" w:sz="0" w:space="0" w:color="auto"/>
            <w:bottom w:val="none" w:sz="0" w:space="0" w:color="auto"/>
            <w:right w:val="none" w:sz="0" w:space="0" w:color="auto"/>
          </w:divBdr>
        </w:div>
        <w:div w:id="2004241053">
          <w:marLeft w:val="446"/>
          <w:marRight w:val="0"/>
          <w:marTop w:val="0"/>
          <w:marBottom w:val="0"/>
          <w:divBdr>
            <w:top w:val="none" w:sz="0" w:space="0" w:color="auto"/>
            <w:left w:val="none" w:sz="0" w:space="0" w:color="auto"/>
            <w:bottom w:val="none" w:sz="0" w:space="0" w:color="auto"/>
            <w:right w:val="none" w:sz="0" w:space="0" w:color="auto"/>
          </w:divBdr>
        </w:div>
        <w:div w:id="90441020">
          <w:marLeft w:val="446"/>
          <w:marRight w:val="0"/>
          <w:marTop w:val="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060347">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6058649">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6035675">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0665006">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95886">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271758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576827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3021980">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743016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37244252">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471</TotalTime>
  <Pages>4</Pages>
  <Words>1357</Words>
  <Characters>7736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35</cp:revision>
  <dcterms:created xsi:type="dcterms:W3CDTF">2025-02-07T11:59:00Z</dcterms:created>
  <dcterms:modified xsi:type="dcterms:W3CDTF">2025-08-15T06:32:00Z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